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450" w:vertAnchor="margin" w:tblpY="-1140" w:leftFromText="180" w:topFromText="0" w:rightFromText="180" w:bottomFromText="0"/>
        <w:tblW w:w="9646" w:type="dxa"/>
        <w:tblLook w:val="04A0" w:firstRow="1" w:lastRow="0" w:firstColumn="1" w:lastColumn="0" w:noHBand="0" w:noVBand="1"/>
      </w:tblPr>
      <w:tblGrid>
        <w:gridCol w:w="6248"/>
        <w:gridCol w:w="236"/>
        <w:gridCol w:w="464"/>
        <w:gridCol w:w="1332"/>
        <w:gridCol w:w="1366"/>
      </w:tblGrid>
      <w:tr>
        <w:tblPrEx/>
        <w:trPr>
          <w:trHeight w:val="270"/>
        </w:trPr>
        <w:tc>
          <w:tcPr>
            <w:gridSpan w:val="5"/>
            <w:tcW w:w="9646" w:type="dxa"/>
            <w:vAlign w:val="bottom"/>
            <w:textDirection w:val="lrTb"/>
            <w:noWrap/>
          </w:tcPr>
          <w:p>
            <w:pPr>
              <w:jc w:val="center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b/>
                <w:bCs/>
                <w:sz w:val="28"/>
                <w:szCs w:val="28"/>
                <w:highlight w:val="white"/>
              </w:rPr>
            </w:r>
          </w:p>
          <w:p>
            <w:pPr>
              <w:jc w:val="center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b/>
                <w:bCs/>
                <w:sz w:val="28"/>
                <w:szCs w:val="28"/>
                <w:highlight w:val="white"/>
              </w:rPr>
            </w:r>
          </w:p>
          <w:p>
            <w:pPr>
              <w:jc w:val="center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b/>
                <w:bCs/>
                <w:sz w:val="28"/>
                <w:szCs w:val="28"/>
                <w:highlight w:val="white"/>
              </w:rPr>
            </w:r>
          </w:p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ПОЯСНИТЕЛЬНАЯ ЗАПИСКА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tcW w:w="6248" w:type="dxa"/>
            <w:vAlign w:val="bottom"/>
            <w:textDirection w:val="lrTb"/>
            <w:noWrap/>
          </w:tcPr>
          <w:p>
            <w:pPr>
              <w:jc w:val="center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</w:p>
        </w:tc>
        <w:tc>
          <w:tcPr>
            <w:gridSpan w:val="2"/>
            <w:tcW w:w="700" w:type="dxa"/>
            <w:vAlign w:val="bottom"/>
            <w:textDirection w:val="lrTb"/>
            <w:noWrap/>
          </w:tcPr>
          <w:p>
            <w:pPr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W w:w="1366" w:type="dxa"/>
            <w:vAlign w:val="bottom"/>
            <w:textDirection w:val="lrTb"/>
            <w:noWrap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КОДЫ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282"/>
        </w:trPr>
        <w:tc>
          <w:tcPr>
            <w:tcW w:w="6248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36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W w:w="1796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Форма по ОКУД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1366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0503360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82"/>
        </w:trPr>
        <w:tc>
          <w:tcPr>
            <w:gridSpan w:val="3"/>
            <w:tcW w:w="6948" w:type="dxa"/>
            <w:vAlign w:val="bottom"/>
            <w:textDirection w:val="lrTb"/>
            <w:noWrap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                         на 1января 2026 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                         Дата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1366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01.01.2026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W w:w="6248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Наименование финансового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W w:w="700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W w:w="1366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 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10"/>
        </w:trPr>
        <w:tc>
          <w:tcPr>
            <w:gridSpan w:val="4"/>
            <w:tcW w:w="8280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органа</w:t>
            </w:r>
            <w:r>
              <w:rPr>
                <w:b/>
                <w:highlight w:val="white"/>
              </w:rPr>
              <w:t xml:space="preserve">   </w:t>
            </w:r>
            <w:r>
              <w:rPr>
                <w:b/>
                <w:sz w:val="22"/>
                <w:szCs w:val="22"/>
                <w:highlight w:val="white"/>
              </w:rPr>
              <w:t xml:space="preserve">                    </w:t>
            </w:r>
            <w:r>
              <w:rPr>
                <w:b/>
                <w:highlight w:val="white"/>
              </w:rPr>
              <w:t xml:space="preserve">Министерство финансов Оренбургской области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W w:w="1366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 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10"/>
        </w:trPr>
        <w:tc>
          <w:tcPr>
            <w:gridSpan w:val="3"/>
            <w:tcW w:w="6948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_____________________________________________________________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по ОКПО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1366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02291361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15"/>
        </w:trPr>
        <w:tc>
          <w:tcPr>
            <w:tcW w:w="6248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бюджета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W w:w="700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Глава по БК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W w:w="1366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        815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10"/>
        </w:trPr>
        <w:tc>
          <w:tcPr>
            <w:gridSpan w:val="3"/>
            <w:tcW w:w="6948" w:type="dxa"/>
            <w:vAlign w:val="bottom"/>
            <w:textDirection w:val="lrTb"/>
            <w:noWrap/>
          </w:tcPr>
          <w:p>
            <w:pPr>
              <w:rPr>
                <w:b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(публично-правового </w:t>
            </w:r>
            <w:r>
              <w:rPr>
                <w:sz w:val="22"/>
                <w:szCs w:val="22"/>
                <w:highlight w:val="white"/>
              </w:rPr>
              <w:t xml:space="preserve">образования)   </w:t>
            </w:r>
            <w:r>
              <w:rPr>
                <w:sz w:val="22"/>
                <w:szCs w:val="22"/>
                <w:highlight w:val="white"/>
              </w:rPr>
              <w:t xml:space="preserve">    </w:t>
            </w:r>
            <w:r>
              <w:rPr>
                <w:b/>
                <w:sz w:val="22"/>
                <w:szCs w:val="22"/>
                <w:highlight w:val="white"/>
              </w:rPr>
              <w:t xml:space="preserve">Консолидированный бюджет   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                                                                   Оренбургской области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по ОКТМО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W w:w="1366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 53701000001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30"/>
        </w:trPr>
        <w:tc>
          <w:tcPr>
            <w:tcW w:w="6248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Периодичность:   </w:t>
            </w:r>
            <w:r>
              <w:rPr>
                <w:sz w:val="22"/>
                <w:szCs w:val="22"/>
                <w:highlight w:val="white"/>
              </w:rPr>
              <w:t xml:space="preserve"> квартальная, годовая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W w:w="700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W w:w="1366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 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82"/>
        </w:trPr>
        <w:tc>
          <w:tcPr>
            <w:tcW w:w="6248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Единица измерения: руб.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W w:w="700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 по ОКЕИ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6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383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tabs>
          <w:tab w:val="left" w:pos="2236" w:leader="none"/>
        </w:tabs>
        <w:rPr>
          <w:b/>
          <w:highlight w:val="white"/>
          <w:u w:val="single"/>
        </w:rPr>
      </w:pPr>
      <w:r>
        <w:rPr>
          <w:b/>
          <w:highlight w:val="white"/>
          <w:u w:val="single"/>
        </w:rPr>
      </w:r>
      <w:r>
        <w:rPr>
          <w:b/>
          <w:highlight w:val="white"/>
          <w:u w:val="single"/>
        </w:rPr>
      </w:r>
      <w:r>
        <w:rPr>
          <w:b/>
          <w:highlight w:val="white"/>
          <w:u w:val="single"/>
        </w:rPr>
      </w:r>
    </w:p>
    <w:p>
      <w:pPr>
        <w:tabs>
          <w:tab w:val="left" w:pos="2236" w:leader="none"/>
        </w:tabs>
        <w:rPr>
          <w:b/>
          <w:highlight w:val="white"/>
          <w:u w:val="single"/>
        </w:rPr>
      </w:pPr>
      <w:r>
        <w:rPr>
          <w:b/>
          <w:highlight w:val="white"/>
          <w:u w:val="single"/>
        </w:rPr>
      </w:r>
      <w:r>
        <w:rPr>
          <w:b/>
          <w:highlight w:val="white"/>
          <w:u w:val="single"/>
        </w:rPr>
      </w:r>
      <w:r>
        <w:rPr>
          <w:b/>
          <w:highlight w:val="white"/>
          <w:u w:val="single"/>
        </w:rPr>
      </w:r>
    </w:p>
    <w:p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Раздел 1 «Организационная структура субъекта</w:t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бюджетной отчетности»</w:t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pStyle w:val="891"/>
        <w:ind w:left="2484"/>
        <w:tabs>
          <w:tab w:val="left" w:pos="5250" w:leader="none"/>
        </w:tabs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81"/>
        <w:ind w:left="0" w:right="0" w:firstLine="709"/>
        <w:tabs>
          <w:tab w:val="left" w:pos="567" w:leader="none"/>
        </w:tabs>
        <w:rPr>
          <w:highlight w:val="white"/>
        </w:rPr>
      </w:pPr>
      <w:r>
        <w:rPr>
          <w:highlight w:val="white"/>
        </w:rPr>
        <w:t xml:space="preserve">Министерство финансов Оренбургской области (далее – министерство) образовано в соответствии с указом Губернатора Оренбургской области              от 05.11.2019 года № 495-ук «О системе и структуре исполнительных органов Ор</w:t>
      </w:r>
      <w:r>
        <w:rPr>
          <w:highlight w:val="white"/>
        </w:rPr>
        <w:t xml:space="preserve">енбургской области», указом Губернатора Оренбургской области                            от 15.08.2014 № 508-ук «Об утверждении структуры и предельной численности министерства финансов Оренбургской области» и Уставом (Основным Законом) Оренбургской области.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567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Министерство осуществляет свою деятельность на основании положения, утвержденного указом Губернатора Оренбургской области от 11.08.2014 № 506-ук «Об утверждении положения о министерстве финансов Оренбургской области».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81"/>
        <w:ind w:left="0" w:right="0" w:firstLine="709"/>
        <w:tabs>
          <w:tab w:val="left" w:pos="567" w:leader="none"/>
        </w:tabs>
        <w:rPr>
          <w:highlight w:val="white"/>
        </w:rPr>
      </w:pPr>
      <w:r>
        <w:rPr>
          <w:highlight w:val="white"/>
        </w:rPr>
        <w:t xml:space="preserve">Министерство при проведении единой финансовой политики взаимодействует с Министерством финансов Российской Федерации, Управлением Федерального каз</w:t>
      </w:r>
      <w:r>
        <w:rPr>
          <w:highlight w:val="white"/>
        </w:rPr>
        <w:t xml:space="preserve">начейства по Оренбургской области, Управлением Федеральной налоговой службы по Оренбургской области, Отделением по Оренбургской области Уральского главного управления Центрального банка Российской Федерации по вопросам, входящим в компетенцию министерства.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567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соответстви</w:t>
      </w:r>
      <w:r>
        <w:rPr>
          <w:sz w:val="28"/>
          <w:szCs w:val="28"/>
          <w:highlight w:val="white"/>
        </w:rPr>
        <w:t xml:space="preserve">и с возложенными на него задачами министерство участвует совместно с другими исполнительными органами области в работе по анализу развития экономики области, в разработке мер по финансовому и налоговому стимулированию хозяйственной деятельности, способству</w:t>
      </w:r>
      <w:r>
        <w:rPr>
          <w:sz w:val="28"/>
          <w:szCs w:val="28"/>
          <w:highlight w:val="white"/>
        </w:rPr>
        <w:t xml:space="preserve">ющих увеличению поступлений налогов в бюджет, организует в соответствии с законодательством работу по составлению проекта областного бюджета, прогноза консолидированного бюджета области, исчисляет нормативы отчислений от федеральных и региональных налогов,</w:t>
      </w:r>
      <w:r>
        <w:rPr>
          <w:sz w:val="28"/>
          <w:szCs w:val="28"/>
          <w:highlight w:val="white"/>
          <w:shd w:val="clear" w:color="auto" w:fill="ffffff"/>
        </w:rPr>
        <w:t xml:space="preserve"> составляет на основе областного бюджета, бюджетов муниципальных образований свод консолидированного бюджета области,</w:t>
      </w:r>
      <w:r>
        <w:rPr>
          <w:sz w:val="28"/>
          <w:szCs w:val="28"/>
          <w:highlight w:val="white"/>
        </w:rPr>
        <w:t xml:space="preserve"> составляет сводную бюджетную роспись областного бюджета, обеспечивает казначейское исполнение областного бюджета, составляет </w:t>
      </w:r>
      <w:r>
        <w:rPr>
          <w:sz w:val="28"/>
          <w:szCs w:val="28"/>
          <w:highlight w:val="white"/>
        </w:rPr>
        <w:t xml:space="preserve">бюджетную отчетность об исполнении областного бюджета и консолидированного бюджета области, осуществляет полномочия учредителя в отношении подведомственных государственных учреждений и другие функции и полномочия.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567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Местонахождение министерства: 460000, г. Оренбург, ул. Советская, д.54.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567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Учредителем </w:t>
      </w:r>
      <w:r>
        <w:rPr>
          <w:sz w:val="28"/>
          <w:szCs w:val="28"/>
          <w:highlight w:val="white"/>
        </w:rPr>
        <w:t xml:space="preserve">министерства </w:t>
      </w:r>
      <w:r>
        <w:rPr>
          <w:sz w:val="28"/>
          <w:szCs w:val="28"/>
          <w:highlight w:val="white"/>
        </w:rPr>
        <w:t xml:space="preserve">является Правительство Оренбургской области.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567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Руководитель министерства – </w:t>
      </w:r>
      <w:r>
        <w:rPr>
          <w:sz w:val="28"/>
          <w:szCs w:val="28"/>
          <w:highlight w:val="white"/>
        </w:rPr>
        <w:t xml:space="preserve">министр </w:t>
      </w:r>
      <w:r>
        <w:rPr>
          <w:sz w:val="28"/>
          <w:szCs w:val="28"/>
          <w:highlight w:val="white"/>
        </w:rPr>
        <w:t xml:space="preserve">Сеньчев</w:t>
      </w:r>
      <w:r>
        <w:rPr>
          <w:sz w:val="28"/>
          <w:szCs w:val="28"/>
          <w:highlight w:val="white"/>
        </w:rPr>
        <w:t xml:space="preserve"> Евгений Валерьевич.</w:t>
      </w:r>
      <w:r>
        <w:rPr>
          <w:sz w:val="28"/>
          <w:szCs w:val="28"/>
          <w:highlight w:val="white"/>
        </w:rPr>
        <w:t xml:space="preserve"> Руководитель финансово-экономической службы – начальник управления бюджетной политики и межбюджетных отношений Марков Андрей Владимирович. </w:t>
      </w:r>
      <w:r>
        <w:rPr>
          <w:sz w:val="28"/>
          <w:szCs w:val="28"/>
          <w:highlight w:val="white"/>
        </w:rPr>
        <w:t xml:space="preserve">Главный бухгалтер – заместитель начальника управления бюджетного учета и консолидированной отчетности Лигостаева Ирина Владимировна.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567" w:leader="none"/>
        </w:tabs>
        <w:rPr>
          <w:rFonts w:eastAsia="Calibri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Уставом Оренбургской области установлена система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исполнительных органов государственной власти во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главе с высшим исполнительным органом государственной власти Оренбургской области – Правительством Оренбургской области. Правительство области возглавляет Губернатор Оренбургской области. Губернатор является высшим должностным лицом Оренбургской области. 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567" w:leader="none"/>
        </w:tabs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В систему исполнительных органов государственной власти входят Правительство Оренбургской области, аппарат Губернатора и Правительства Оренбургской области, 15 министерств, 4 департамента, 3 инспекции и                 5 комитетов.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567" w:leader="none"/>
        </w:tabs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Законодательное Собрание области – законодательный орган государственной власти области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.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Счетная палата, Избирательная комиссия, Уполномоченный по правам человека, Уполномоченный по правам ребенка, Уполномоченный по защите прав предпринимателей в Оренбургской    области – государственные органы области.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567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состоянию на 1 января 2026 года количество главных распорядителей средств областного бюджета составляет 34 единицы.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В состав субъекта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Российской Федерации входит 7 городских округов, из них 1 является закрытым административно-территориальным образованием, 6 муниципальных округов, 29 муниципальных районов, 444 сельских поселений.</w:t>
      </w:r>
      <w:r>
        <w:rPr>
          <w:rFonts w:eastAsia="Calibri"/>
          <w:color w:val="ff0000"/>
          <w:sz w:val="28"/>
          <w:szCs w:val="28"/>
          <w:highlight w:val="white"/>
          <w:lang w:eastAsia="en-US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jc w:val="center"/>
        <w:spacing w:line="240" w:lineRule="auto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Раздел 2 «Результаты деятельности субъекта бюджетной отчетности»</w:t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целях повышения качества управления региональными финансами в 2025</w:t>
      </w:r>
      <w:r>
        <w:rPr>
          <w:sz w:val="28"/>
          <w:szCs w:val="28"/>
        </w:rPr>
        <w:t xml:space="preserve"> году реализовывалс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комплекс процессных мероприятий</w:t>
      </w:r>
      <w:r>
        <w:rPr>
          <w:sz w:val="28"/>
          <w:szCs w:val="28"/>
        </w:rPr>
        <w:t xml:space="preserve"> «Повышение эффективности бюджетных расходов Оренбургской области» государственной программа «Управление государственными финансами и государственным долгом Оренбургской области»</w:t>
      </w:r>
      <w:r>
        <w:rPr>
          <w:sz w:val="28"/>
          <w:szCs w:val="28"/>
        </w:rPr>
        <w:t xml:space="preserve"> и приоритетный проект </w:t>
      </w:r>
      <w:r>
        <w:rPr>
          <w:sz w:val="28"/>
        </w:rPr>
        <w:t xml:space="preserve">«Вовлечение жителей муниципальных образований Оренбургской области в процесс выбора и реализации инициативных проектов»</w:t>
      </w:r>
      <w:r>
        <w:rPr>
          <w:sz w:val="28"/>
          <w:szCs w:val="28"/>
        </w:rPr>
        <w:t xml:space="preserve">, утвержденн</w:t>
      </w:r>
      <w:r>
        <w:rPr>
          <w:sz w:val="28"/>
          <w:szCs w:val="28"/>
        </w:rPr>
        <w:t xml:space="preserve">ые</w:t>
      </w:r>
      <w:r>
        <w:rPr>
          <w:sz w:val="28"/>
          <w:szCs w:val="28"/>
        </w:rPr>
        <w:t xml:space="preserve"> постановлением Правительства Оренбургской области от 25 декабря 2018 года № 886-пп: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1. Оценка качества финансового менеджмента главных администраторов средств областного бюджета.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709"/>
        <w:jc w:val="both"/>
        <w:spacing w:line="240" w:lineRule="auto"/>
      </w:pPr>
      <w:r>
        <w:rPr>
          <w:color w:val="000000" w:themeColor="text1"/>
          <w:sz w:val="28"/>
          <w:szCs w:val="28"/>
          <w14:ligatures w14:val="none"/>
        </w:rPr>
        <w:t xml:space="preserve">В соответствии с приказом министерства финансов Оренбургской области от 27.04.2020 № 73 проведена оценка качества финансового менеджмента главных администраторов средств областного бюджета за 2024 год.</w:t>
      </w:r>
      <w:r/>
    </w:p>
    <w:p>
      <w:pPr>
        <w:ind w:firstLine="709"/>
        <w:jc w:val="both"/>
        <w:spacing w:line="240" w:lineRule="auto"/>
      </w:pPr>
      <w:r>
        <w:rPr>
          <w:color w:val="000000" w:themeColor="text1"/>
          <w:sz w:val="28"/>
          <w:szCs w:val="28"/>
          <w14:ligatures w14:val="none"/>
        </w:rPr>
        <w:t xml:space="preserve">Оценка качества финансового менеджмента осуществлялась раздельно по трем группам:</w:t>
      </w:r>
      <w:r/>
    </w:p>
    <w:p>
      <w:pPr>
        <w:ind w:firstLine="709"/>
        <w:jc w:val="both"/>
        <w:spacing w:line="240" w:lineRule="auto"/>
      </w:pPr>
      <w:r>
        <w:rPr>
          <w:color w:val="000000" w:themeColor="text1"/>
          <w:sz w:val="28"/>
          <w:szCs w:val="28"/>
          <w14:ligatures w14:val="none"/>
        </w:rPr>
        <w:t xml:space="preserve">1 группа – главные администраторы средств областного бюджета, имеющие более 10 подведомственных государственных учреждений;</w:t>
      </w:r>
      <w:r/>
    </w:p>
    <w:p>
      <w:pPr>
        <w:ind w:firstLine="709"/>
        <w:jc w:val="both"/>
        <w:spacing w:line="240" w:lineRule="auto"/>
      </w:pPr>
      <w:r>
        <w:rPr>
          <w:color w:val="000000" w:themeColor="text1"/>
          <w:sz w:val="28"/>
          <w:szCs w:val="28"/>
          <w14:ligatures w14:val="none"/>
        </w:rPr>
        <w:t xml:space="preserve">2 группа – главные администраторы средств областного бюджета, имеющие 10 и менее подведомственных государственных учреждений;</w:t>
      </w:r>
      <w:r/>
    </w:p>
    <w:p>
      <w:pPr>
        <w:ind w:firstLine="709"/>
        <w:jc w:val="both"/>
        <w:spacing w:line="240" w:lineRule="auto"/>
      </w:pPr>
      <w:r>
        <w:rPr>
          <w:color w:val="000000" w:themeColor="text1"/>
          <w:sz w:val="28"/>
          <w:szCs w:val="28"/>
          <w14:ligatures w14:val="none"/>
        </w:rPr>
        <w:t xml:space="preserve">3 группа – главные администраторы средств областного бюджета, не имеющие подведомственных государственных учреждений.</w:t>
      </w:r>
      <w:r/>
    </w:p>
    <w:p>
      <w:pPr>
        <w:ind w:firstLine="709"/>
        <w:jc w:val="both"/>
        <w:spacing w:line="240" w:lineRule="auto"/>
      </w:pPr>
      <w:r>
        <w:rPr>
          <w:color w:val="000000" w:themeColor="text1"/>
          <w:sz w:val="28"/>
          <w:szCs w:val="28"/>
          <w14:ligatures w14:val="none"/>
        </w:rPr>
        <w:t xml:space="preserve">Средняя оценка составила:</w:t>
      </w:r>
      <w:r/>
    </w:p>
    <w:p>
      <w:pPr>
        <w:ind w:firstLine="709"/>
        <w:jc w:val="both"/>
        <w:spacing w:line="240" w:lineRule="auto"/>
      </w:pPr>
      <w:r>
        <w:rPr>
          <w:color w:val="000000" w:themeColor="text1"/>
          <w:sz w:val="28"/>
          <w:szCs w:val="28"/>
          <w14:ligatures w14:val="none"/>
        </w:rPr>
        <w:t xml:space="preserve">1 группа – 77,7 балла;</w:t>
      </w:r>
      <w:r/>
    </w:p>
    <w:p>
      <w:pPr>
        <w:ind w:firstLine="709"/>
        <w:jc w:val="both"/>
        <w:spacing w:line="240" w:lineRule="auto"/>
      </w:pPr>
      <w:r>
        <w:rPr>
          <w:color w:val="000000" w:themeColor="text1"/>
          <w:sz w:val="28"/>
          <w:szCs w:val="28"/>
          <w14:ligatures w14:val="none"/>
        </w:rPr>
        <w:t xml:space="preserve">2 группа – 82,8 балла;</w:t>
      </w:r>
      <w:r/>
    </w:p>
    <w:p>
      <w:pPr>
        <w:ind w:firstLine="709"/>
        <w:jc w:val="both"/>
        <w:spacing w:line="240" w:lineRule="auto"/>
      </w:pPr>
      <w:r>
        <w:rPr>
          <w:color w:val="000000" w:themeColor="text1"/>
          <w:sz w:val="28"/>
          <w:szCs w:val="28"/>
          <w14:ligatures w14:val="none"/>
        </w:rPr>
        <w:t xml:space="preserve">3 группа – 82,6 балла.</w:t>
      </w:r>
      <w:r/>
    </w:p>
    <w:p>
      <w:pPr>
        <w:ind w:firstLine="709"/>
        <w:jc w:val="both"/>
        <w:spacing w:line="240" w:lineRule="auto"/>
        <w:rPr>
          <w:color w:val="000000" w:themeColor="text1"/>
          <w:sz w:val="28"/>
          <w:szCs w:val="28"/>
          <w14:ligatures w14:val="none"/>
        </w:rPr>
      </w:pPr>
      <w:r>
        <w:rPr>
          <w:color w:val="000000" w:themeColor="text1"/>
          <w:sz w:val="28"/>
          <w:szCs w:val="28"/>
          <w14:ligatures w14:val="none"/>
        </w:rPr>
        <w:t xml:space="preserve">Средняя рейтинговая оценка качества финансового менеджмента главных администраторов средств областного бюджета составила 81,8 процента.</w:t>
      </w:r>
      <w:r>
        <w:rPr>
          <w:color w:val="000000" w:themeColor="text1"/>
          <w:sz w:val="28"/>
          <w:szCs w:val="28"/>
          <w14:ligatures w14:val="none"/>
        </w:rPr>
      </w:r>
      <w:r>
        <w:rPr>
          <w:color w:val="000000" w:themeColor="text1"/>
          <w:sz w:val="28"/>
          <w:szCs w:val="28"/>
          <w14:ligatures w14:val="none"/>
        </w:rPr>
      </w:r>
    </w:p>
    <w:p>
      <w:pPr>
        <w:ind w:firstLine="709"/>
        <w:jc w:val="both"/>
        <w:spacing w:line="240" w:lineRule="auto"/>
        <w:tabs>
          <w:tab w:val="left" w:pos="5529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tabs>
          <w:tab w:val="left" w:pos="5529" w:leader="none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 Оценка качества управления муниципальными финансами муниципальными образованиями Оренбургской области.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709"/>
        <w:jc w:val="both"/>
        <w:spacing w:line="240" w:lineRule="auto"/>
      </w:pPr>
      <w:r>
        <w:rPr>
          <w:color w:val="000000" w:themeColor="text1"/>
          <w:sz w:val="28"/>
          <w:szCs w:val="28"/>
          <w14:ligatures w14:val="none"/>
        </w:rPr>
        <w:t xml:space="preserve">В</w:t>
      </w:r>
      <w:r>
        <w:rPr>
          <w:color w:val="000000" w:themeColor="text1"/>
          <w:sz w:val="28"/>
          <w:szCs w:val="28"/>
          <w14:ligatures w14:val="none"/>
        </w:rPr>
        <w:t xml:space="preserve"> соответствии с постановлением Правительства Оренбургской области от 12.05.2020 № 402-пп «Об утверждении методики проведения оценки качества управления муниципальными финансами городских округов и муниципальных районов Оренбургской области и о признании ут</w:t>
      </w:r>
      <w:r>
        <w:rPr>
          <w:color w:val="000000" w:themeColor="text1"/>
          <w:sz w:val="28"/>
          <w:szCs w:val="28"/>
          <w14:ligatures w14:val="none"/>
        </w:rPr>
        <w:t xml:space="preserve">ратившими силу некоторых постановлений Правительства Оренбургской области» министерством финансов области проведена оценка качества управления муниципальными финансами за 2024 год.</w:t>
      </w:r>
      <w:r/>
    </w:p>
    <w:p>
      <w:pPr>
        <w:ind w:firstLine="709"/>
        <w:jc w:val="both"/>
        <w:spacing w:line="240" w:lineRule="auto"/>
        <w:rPr>
          <w:color w:val="000000" w:themeColor="text1"/>
          <w:sz w:val="28"/>
          <w:szCs w:val="28"/>
          <w14:ligatures w14:val="none"/>
        </w:rPr>
      </w:pPr>
      <w:r>
        <w:rPr>
          <w:color w:val="000000" w:themeColor="text1"/>
          <w:sz w:val="28"/>
          <w:szCs w:val="28"/>
          <w14:ligatures w14:val="none"/>
        </w:rPr>
        <w:t xml:space="preserve">Средняя оценка качества управления муниципальными финансами городскими округами и муниципальными районами области составила 72,7 балла.</w:t>
      </w:r>
      <w:r>
        <w:rPr>
          <w:color w:val="000000" w:themeColor="text1"/>
          <w:sz w:val="28"/>
          <w:szCs w:val="28"/>
          <w14:ligatures w14:val="none"/>
        </w:rPr>
      </w:r>
      <w:r>
        <w:rPr>
          <w:color w:val="000000" w:themeColor="text1"/>
          <w:sz w:val="28"/>
          <w:szCs w:val="28"/>
          <w14:ligatures w14:val="none"/>
        </w:rPr>
      </w:r>
    </w:p>
    <w:p>
      <w:pPr>
        <w:ind w:firstLine="709"/>
        <w:jc w:val="both"/>
        <w:spacing w:line="240" w:lineRule="auto"/>
        <w:tabs>
          <w:tab w:val="left" w:pos="5529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3. Обеспечение открытости бюджетных данных.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709"/>
        <w:jc w:val="both"/>
        <w:spacing w:line="240" w:lineRule="auto"/>
      </w:pPr>
      <w:r>
        <w:rPr>
          <w:color w:val="000000" w:themeColor="text1"/>
          <w:sz w:val="28"/>
          <w:szCs w:val="28"/>
          <w14:ligatures w14:val="none"/>
        </w:rPr>
        <w:t xml:space="preserve">В целях обеспечения открытости бюджетных данных в 2025 году министерством финансов области поддерживается в актуальном состоянии официальный сайт Минфина области, портал «Бюджет для граждан» и аккаунты в социальных сетях.</w:t>
      </w:r>
      <w:r/>
    </w:p>
    <w:p>
      <w:pPr>
        <w:ind w:firstLine="709"/>
        <w:jc w:val="both"/>
        <w:spacing w:line="240" w:lineRule="auto"/>
        <w:rPr>
          <w:color w:val="000000" w:themeColor="text1"/>
          <w:sz w:val="28"/>
          <w:szCs w:val="28"/>
          <w14:ligatures w14:val="none"/>
        </w:rPr>
      </w:pPr>
      <w:r>
        <w:rPr>
          <w:color w:val="000000" w:themeColor="text1"/>
          <w:sz w:val="28"/>
          <w:szCs w:val="28"/>
          <w14:ligatures w14:val="none"/>
        </w:rPr>
        <w:t xml:space="preserve">П</w:t>
      </w:r>
      <w:r>
        <w:rPr>
          <w:color w:val="000000" w:themeColor="text1"/>
          <w:sz w:val="28"/>
          <w:szCs w:val="28"/>
          <w14:ligatures w14:val="none"/>
        </w:rPr>
        <w:t xml:space="preserve">о результатам оценки открытости субъектов Российской Федерации по уровню открытости бюджетных данных за 2025 год по разделам «Первоначально утвержденный бюджет», «Годовой отчет об исполнении бюджета», «Публичные сведения о деятельности государственных учре</w:t>
      </w:r>
      <w:r>
        <w:rPr>
          <w:color w:val="000000" w:themeColor="text1"/>
          <w:sz w:val="28"/>
          <w:szCs w:val="28"/>
          <w14:ligatures w14:val="none"/>
        </w:rPr>
        <w:t xml:space="preserve">ждений» и «Стимулирование органов местного самоуправления к повышению открытости бюджетных данных» Оренбургская область сохранила очень высокий уровень открытости бюджетных данных.</w:t>
      </w:r>
      <w:r>
        <w:rPr>
          <w:color w:val="000000" w:themeColor="text1"/>
          <w:sz w:val="28"/>
          <w:szCs w:val="28"/>
          <w14:ligatures w14:val="none"/>
        </w:rPr>
      </w:r>
      <w:r>
        <w:rPr>
          <w:color w:val="000000" w:themeColor="text1"/>
          <w:sz w:val="28"/>
          <w:szCs w:val="28"/>
          <w14:ligatures w14:val="none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Кроме того, министерством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 Оренбургской области проведен мониторинг открытости бюджетных данных на муниципальном уровне за 2024</w:t>
      </w:r>
      <w:r>
        <w:rPr>
          <w:sz w:val="28"/>
          <w:szCs w:val="28"/>
        </w:rPr>
        <w:t xml:space="preserve"> год в соответствии с постановлением Правительства Оренбургской области от 5 декабря 2016 года № 915-п.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ind w:firstLine="709"/>
        <w:jc w:val="both"/>
        <w:spacing w:before="0" w:beforeAutospacing="0" w:after="0" w:afterAutospacing="0" w:line="240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ходе мониторинга оценены следующие разделы и группы показателей: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ind w:firstLine="709"/>
        <w:jc w:val="both"/>
        <w:spacing w:before="0" w:beforeAutospacing="0" w:after="0" w:afterAutospacing="0" w:line="240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1) Информационное наполнение сайтов муниципальных образований;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ind w:firstLine="709"/>
        <w:jc w:val="both"/>
        <w:spacing w:before="0" w:beforeAutospacing="0" w:after="0" w:afterAutospacing="0" w:line="240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2) Размещение сведений муниципальными учреждениями на официальном сайте для размещения информации о государственных (муниципальных) учреждениях;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ind w:firstLine="709"/>
        <w:jc w:val="both"/>
        <w:spacing w:before="0" w:beforeAutospacing="0" w:after="0" w:afterAutospacing="0" w:line="240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3) Информационное наполнение «бюджета для граждан»;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ind w:firstLine="709"/>
        <w:jc w:val="both"/>
        <w:spacing w:before="0" w:beforeAutospacing="0" w:after="0" w:afterAutospacing="0" w:line="240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4) Распространение информации о бюджете в средствах массовой информации;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ind w:firstLine="709"/>
        <w:jc w:val="both"/>
        <w:spacing w:before="0" w:beforeAutospacing="0" w:after="0" w:afterAutospacing="0" w:line="240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5) Общественное участие в бюджетном процессе.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Средний уровень открытости бюджетных данных составил 96,2</w:t>
      </w:r>
      <w:r>
        <w:rPr>
          <w:sz w:val="28"/>
          <w:szCs w:val="28"/>
          <w:highlight w:val="none"/>
        </w:rPr>
        <w:t xml:space="preserve"> </w:t>
      </w:r>
      <w:r>
        <w:rPr>
          <w:sz w:val="28"/>
          <w:szCs w:val="28"/>
          <w:highlight w:val="none"/>
        </w:rPr>
        <w:t xml:space="preserve">процента</w:t>
      </w:r>
      <w:r>
        <w:rPr>
          <w:sz w:val="28"/>
          <w:szCs w:val="28"/>
          <w:highlight w:val="none"/>
        </w:rPr>
        <w:t xml:space="preserve">. При этом </w:t>
      </w:r>
      <w:r>
        <w:rPr>
          <w:sz w:val="28"/>
          <w:szCs w:val="28"/>
          <w:highlight w:val="none"/>
        </w:rPr>
        <w:t xml:space="preserve">все 42</w:t>
      </w:r>
      <w:r>
        <w:rPr>
          <w:sz w:val="28"/>
          <w:szCs w:val="28"/>
          <w:highlight w:val="none"/>
        </w:rPr>
        <w:t xml:space="preserve"> муниципальных образовани</w:t>
      </w:r>
      <w:r>
        <w:rPr>
          <w:sz w:val="28"/>
          <w:szCs w:val="28"/>
          <w:highlight w:val="none"/>
        </w:rPr>
        <w:t xml:space="preserve">я</w:t>
      </w:r>
      <w:r>
        <w:rPr>
          <w:sz w:val="28"/>
          <w:szCs w:val="28"/>
          <w:highlight w:val="none"/>
        </w:rPr>
        <w:t xml:space="preserve"> были отнесены в группе «Очень высокий уровень открытости».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4. Обеспечение реализации инициативных проектов. 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2025</w:t>
      </w:r>
      <w:r>
        <w:rPr>
          <w:sz w:val="28"/>
          <w:szCs w:val="28"/>
        </w:rPr>
        <w:t xml:space="preserve"> году в соответствии паспортом приоритетного проекта «Местные инициативы» все контрольные точки реализованы, отклонений нет: организовано и проведено три зональных обучающих семинара для глав муниципальных образований области и представителей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органов местного самоуправления с целью разъяснения организации процесса выбора инициативных проектов, проведены мероприятия по доработке электронной системы сбора заявок; осуществлен сбор заявок на участие в конкурсном отборе инициативных проектов на 2026</w:t>
      </w:r>
      <w:r>
        <w:rPr>
          <w:sz w:val="28"/>
          <w:szCs w:val="28"/>
        </w:rPr>
        <w:t xml:space="preserve"> год, сформирован их рейтинг, проведена Правительственная комиссия по рассмотрению и утверждению результатов конкурсного отбора инициативных проектов на 2026</w:t>
      </w:r>
      <w:r>
        <w:rPr>
          <w:sz w:val="28"/>
          <w:szCs w:val="28"/>
        </w:rPr>
        <w:t xml:space="preserve"> год, осуществлен мониторинг реализации инициативных проектов в 2025</w:t>
      </w:r>
      <w:r>
        <w:rPr>
          <w:sz w:val="28"/>
          <w:szCs w:val="28"/>
        </w:rPr>
        <w:t xml:space="preserve"> году, освещен процесс реализации проектов общественной инфраструктуры в средствах массовой информации.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2025</w:t>
      </w:r>
      <w:r>
        <w:rPr>
          <w:sz w:val="28"/>
          <w:szCs w:val="28"/>
        </w:rPr>
        <w:t xml:space="preserve"> году было реализовано 219</w:t>
      </w:r>
      <w:r>
        <w:rPr>
          <w:sz w:val="28"/>
          <w:szCs w:val="28"/>
        </w:rPr>
        <w:t xml:space="preserve"> инициативных проектов общей стоимостью 335,2</w:t>
      </w:r>
      <w:r>
        <w:rPr>
          <w:sz w:val="28"/>
          <w:szCs w:val="28"/>
        </w:rPr>
        <w:t xml:space="preserve"> млн. </w:t>
      </w:r>
      <w:r>
        <w:rPr>
          <w:sz w:val="28"/>
          <w:szCs w:val="28"/>
        </w:rPr>
        <w:t xml:space="preserve">рублей. В местные бюджеты перечислены субсидии из областного бюджета в сумме 188,1</w:t>
      </w:r>
      <w:r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рублей.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Проведен конкурсный отбор инициативных проектов к реализации в 2026</w:t>
      </w:r>
      <w:r>
        <w:rPr>
          <w:sz w:val="28"/>
          <w:szCs w:val="28"/>
        </w:rPr>
        <w:t xml:space="preserve"> году. Победителями признаны 175</w:t>
      </w:r>
      <w:r>
        <w:rPr>
          <w:sz w:val="28"/>
          <w:szCs w:val="28"/>
        </w:rPr>
        <w:t xml:space="preserve"> проектов</w:t>
      </w:r>
      <w:r>
        <w:rPr>
          <w:sz w:val="28"/>
          <w:szCs w:val="28"/>
        </w:rPr>
        <w:t xml:space="preserve"> общей стоимостью </w:t>
      </w:r>
      <w:r>
        <w:rPr>
          <w:sz w:val="28"/>
          <w:szCs w:val="28"/>
        </w:rPr>
        <w:t xml:space="preserve">336,9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млн.</w:t>
      </w:r>
      <w:r>
        <w:rPr>
          <w:sz w:val="28"/>
          <w:szCs w:val="28"/>
        </w:rPr>
        <w:t xml:space="preserve"> рублей.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областном бюджете заложены</w:t>
      </w:r>
      <w:r>
        <w:rPr>
          <w:sz w:val="28"/>
          <w:szCs w:val="28"/>
        </w:rPr>
        <w:t xml:space="preserve"> субсидии в сумме </w:t>
      </w:r>
      <w:r>
        <w:rPr>
          <w:sz w:val="28"/>
          <w:szCs w:val="28"/>
        </w:rPr>
        <w:t xml:space="preserve">183,9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млн.</w:t>
      </w:r>
      <w:r>
        <w:rPr>
          <w:sz w:val="28"/>
          <w:szCs w:val="28"/>
        </w:rPr>
        <w:t xml:space="preserve"> рублей.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5. Оценка качества управления государственными финансами Оренбургской области.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709"/>
        <w:jc w:val="both"/>
        <w:spacing w:line="240" w:lineRule="auto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sz w:val="28"/>
          <w:szCs w:val="28"/>
        </w:rPr>
        <w:t xml:space="preserve">Минфин России ежегодно проводит оценку качества управления региональными финансами субъектов Российской Федерации. Оренбургская область в 2025</w:t>
      </w:r>
      <w:r>
        <w:rPr>
          <w:sz w:val="28"/>
          <w:szCs w:val="28"/>
        </w:rPr>
        <w:t xml:space="preserve"> году вошла в группу субъектов Российской Федерации с высоким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качеством управления региональными финансами.</w:t>
      </w:r>
      <w:r>
        <w:rPr>
          <w:rFonts w:ascii="Arial" w:hAnsi="Arial" w:cs="Arial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</w:r>
      <w:r>
        <w:rPr>
          <w:rFonts w:ascii="Arial" w:hAnsi="Arial" w:cs="Arial"/>
          <w:sz w:val="22"/>
          <w:szCs w:val="22"/>
          <w:shd w:val="clear" w:color="auto" w:fill="ffffff"/>
        </w:rPr>
      </w:r>
    </w:p>
    <w:p>
      <w:pPr>
        <w:ind w:firstLine="709"/>
        <w:jc w:val="both"/>
        <w:spacing w:line="240" w:lineRule="auto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Комплексная оценка итогов работы включала в себя анализ индикаторов, характеризующих планирование и</w:t>
      </w:r>
      <w:r>
        <w:rPr>
          <w:sz w:val="28"/>
          <w:szCs w:val="28"/>
          <w:shd w:val="clear" w:color="auto" w:fill="ffffff"/>
        </w:rPr>
        <w:t xml:space="preserve"> исполнение бюджета, управление государственным долгом и собственностью, качество оказания государственных услуг, финансовые взаимоотношения с муниципалитетами, прозрачность бюджетного процесса и выполнение «майских» указов Президента Российской Федерации.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8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целях оптимизации </w:t>
      </w:r>
      <w:r>
        <w:rPr>
          <w:sz w:val="28"/>
          <w:szCs w:val="28"/>
        </w:rPr>
        <w:t xml:space="preserve">б</w:t>
      </w:r>
      <w:r>
        <w:rPr>
          <w:sz w:val="28"/>
          <w:szCs w:val="28"/>
        </w:rPr>
        <w:t xml:space="preserve">юджетных расходов в течение 2025</w:t>
      </w:r>
      <w:r>
        <w:rPr>
          <w:sz w:val="28"/>
          <w:szCs w:val="28"/>
        </w:rPr>
        <w:t xml:space="preserve"> года учреждениями области принимались меры, направленные на повышение эффективности расходования бюджетных средств: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 осуществлении закупок товаров, ра</w:t>
      </w:r>
      <w:r>
        <w:rPr>
          <w:sz w:val="28"/>
          <w:szCs w:val="28"/>
        </w:rPr>
        <w:t xml:space="preserve">бот, услуг, таких как оказание услуг по сопровождению, расширению функциональных возможностей, разработке и внедрению программных продуктов, закупка вычислительной техники, страхование имущества, использовались конкурентные способы определения поставщиков.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124"/>
        <w:spacing w:line="240" w:lineRule="auto"/>
        <w:tabs>
          <w:tab w:val="left" w:pos="5250" w:leader="none"/>
        </w:tabs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Раздел 3 «Анализ отчета об исполнении бюджета </w:t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субъектом бюджетной отчетности»</w:t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ind w:firstLine="709"/>
        <w:jc w:val="center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center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</w:r>
      <w:r>
        <w:rPr>
          <w:b/>
          <w:sz w:val="28"/>
          <w:szCs w:val="28"/>
        </w:rPr>
        <w:t xml:space="preserve">Доходы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консолидированный бюджет Оренбургской области поступило доходов (с учетом средств внебюджетных фондов) в сумме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325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 при </w:t>
      </w:r>
      <w:r>
        <w:rPr>
          <w:sz w:val="28"/>
          <w:szCs w:val="28"/>
        </w:rPr>
        <w:t xml:space="preserve">плановых</w:t>
      </w:r>
      <w:r>
        <w:rPr>
          <w:sz w:val="28"/>
          <w:szCs w:val="28"/>
        </w:rPr>
        <w:t xml:space="preserve"> назначениях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</w:t>
      </w:r>
      <w:r>
        <w:rPr>
          <w:color w:val="000000"/>
          <w:sz w:val="28"/>
          <w:szCs w:val="28"/>
        </w:rPr>
        <w:t xml:space="preserve">31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219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рублей, что составляет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процента. Поступление в консолидированный бюджет области без учета средств внебюджетных фондов составило </w:t>
      </w:r>
      <w:r>
        <w:rPr>
          <w:sz w:val="28"/>
          <w:szCs w:val="28"/>
        </w:rPr>
        <w:t xml:space="preserve">189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549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плановых</w:t>
      </w:r>
      <w:r>
        <w:rPr>
          <w:sz w:val="28"/>
          <w:szCs w:val="28"/>
        </w:rPr>
        <w:t xml:space="preserve">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консолидированный бюджет области за 2025 год поступило налоговых и неналоговых доходов 146 272,7 млн. рублей, или 102,4 процента от годовых бюджетных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удельный вес в структуре налоговых и неналоговых доходов консолидированного бюджета области занимают такие налоги, как налог на доходы физических лиц (33,1 процента), налог на прибыль организаций                      </w:t>
      </w:r>
      <w:r>
        <w:rPr>
          <w:sz w:val="28"/>
          <w:szCs w:val="28"/>
        </w:rPr>
        <w:t xml:space="preserve">   (</w:t>
      </w:r>
      <w:r>
        <w:rPr>
          <w:sz w:val="28"/>
          <w:szCs w:val="28"/>
        </w:rPr>
        <w:t xml:space="preserve">15,1 процента), акцизы по подакцизным товарам (11,2 процента) и налог на имущество организаций (10,2 процента).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назначения по налогу на прибыль организаций исполнены на 100,2 процента. В бюджет поступило 24 462,7 млн. рублей. По сравнению с а</w:t>
      </w:r>
      <w:r>
        <w:rPr>
          <w:sz w:val="28"/>
          <w:szCs w:val="28"/>
        </w:rPr>
        <w:t xml:space="preserve">налогичным периодом прошлого года поступление налога уменьшилось на                                      16 521,3 млн. рублей, или на 40,3 процента. Снижение налога на прибыль организаций связано с уменьшением объема платежей от крупных налогоплательщиков.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Налога на доходы физических лиц поступило 61 214,8 млн. рублей, или 102,9 процента</w:t>
      </w:r>
      <w:r>
        <w:rPr>
          <w:sz w:val="28"/>
          <w:szCs w:val="28"/>
        </w:rPr>
        <w:t xml:space="preserve"> от годовых бюджетных назначений. По сравнению с аналогичным периодом прошлого года поступления увеличились на                                  15,5 процента, или на 8 222,1 млн. рублей. Увеличение поступлений по налогу связано с ростом фонда оплаты труда.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Акцизов по подакцизным товарам в целом поступило</w:t>
      </w:r>
      <w:r>
        <w:rPr>
          <w:sz w:val="28"/>
          <w:szCs w:val="28"/>
        </w:rPr>
        <w:t xml:space="preserve"> в бюджет                              16 322,0 млн. рублей, что составляет 99,6 процента от годовых бюджетных назначений. По сравнению с поступлениями за аналогичный период прошлого года акцизов поступило больше на 690,0 млн. рублей, или на 4,4 процента.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бюджетных назначений по доходам от уплаты акцизов на автомобильный и прямогонный бензин, дизельное топливо и моторные масла составило 13 210,0 млн. р</w:t>
      </w:r>
      <w:r>
        <w:rPr>
          <w:sz w:val="28"/>
          <w:szCs w:val="28"/>
        </w:rPr>
        <w:t xml:space="preserve">ублей, или 98,7 процента от годовых бюджетных назначений. По сравнению с аналогичным периодом прошлого года поступления увеличились на 3,0 процента, или на 389,7 млн. рублей. Рост поступлений обусловлен увеличением объемов реализации подакцизной продукции.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назначения по налогам на совокупный доход исполнены на 101,9 процента, или в размере 10 107,0 млн. рублей. По сравнению с соответствующим периодом прошлого года поступление налогов увеличилось на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1 403,5 млн. рублей, или на 16,1 </w:t>
      </w:r>
      <w:r>
        <w:rPr>
          <w:sz w:val="28"/>
          <w:szCs w:val="28"/>
        </w:rPr>
        <w:t xml:space="preserve">процента. Такое исполнение обусловлено увеличением налогооблагаемой базы за счет роста индекса потребительских цен и индекса производства сельскохозяйственной продукции, а также роста количества налогоплательщиков, применяющих специальные налоговые режимы.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налога на имущество физических лиц в бюджет области составило 737,1 млн. рублей, или 108,5 процента. Такое исполнение связано с увеличением налогооблагаемой базы по налогу.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н</w:t>
      </w:r>
      <w:r>
        <w:rPr>
          <w:sz w:val="28"/>
          <w:szCs w:val="28"/>
        </w:rPr>
        <w:t xml:space="preserve">азначения по налогу на имущество организаций исполнены на 101,3 процента. В бюджет поступило 14 854,6 млн. рублей. По сравнению с поступлениями, сложившимися за аналогичный период прошлого года, рост налога составил 1,2 процента, или на 177,6 млн. рублей.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Транспортного налога в бюджет поступило 1 621,8 млн. рублей, или                     103,1 процента от бюджетных назначений. По сравнению с соответствующим периодом прошлого года по</w:t>
      </w:r>
      <w:r>
        <w:rPr>
          <w:sz w:val="28"/>
          <w:szCs w:val="28"/>
        </w:rPr>
        <w:t xml:space="preserve">ступление налога снизилось на 0,6 процента, или 9,1 млн. рублей. Такое снижение обусловлено предоставлением льгот налогоплательщикам в связи с чрезвычайной ситуацией, сложившейся на территории Оренбургской области, в результате весеннего паводка 2024 года.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по земельному налогу составили 1 919,5 млн. рублей, или                     108,0 процента. По сравнению с поступлениями, сложившимися за аналогичный период прошлого года, рост налога составил 12,9 процента, или </w:t>
      </w:r>
      <w:r>
        <w:rPr>
          <w:sz w:val="28"/>
          <w:szCs w:val="28"/>
        </w:rPr>
        <w:t xml:space="preserve">219,6 млн. рублей. Рост налога связан с увеличением налогооблагаемой базы в 2025 году.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по налогу на добычу полезных ископаемых составили                                  1 580,9 млн. рублей, или 97,0 процента от плановых назначений. По сравнению</w:t>
      </w:r>
      <w:r>
        <w:rPr>
          <w:sz w:val="28"/>
          <w:szCs w:val="28"/>
        </w:rPr>
        <w:t xml:space="preserve"> с соответствующим периодом прошлого года поступление налога снизилось на 149,6 млн. рублей, или на 8,6 процента. Снижение налога связано с поступлением в 2024 году доходов по уточненным декларациям за 2022 и 2023 годы и погашением задолженности по налогу.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Доходов от использования имущества поступило в консолидированный бюджет Оренбургской области в сумме 6 084,8 млн. рублей. Исполнение бюджетных назначений составило 104,0 проц</w:t>
      </w:r>
      <w:r>
        <w:rPr>
          <w:sz w:val="28"/>
          <w:szCs w:val="28"/>
        </w:rPr>
        <w:t xml:space="preserve">ента. По сравнению с аналогичным периодом прошлого года поступления снизились на 8,8 процента, или на                        585,0 млн. рублей, что обусловлено снижением остатка временно свободных денежных средств, размещенных на едином казначейском счете.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назначения по платежам при пользовании природными ресурсами исполнены в сумме 306,9 млн. рублей, или 84,1 процента от годовых бюджетных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плате за негативное воздействие на окружающую среду исполнение бюджетны</w:t>
      </w:r>
      <w:r>
        <w:rPr>
          <w:sz w:val="28"/>
          <w:szCs w:val="28"/>
        </w:rPr>
        <w:t xml:space="preserve">х назначений составило 78,5 процента, или 264,3 млн. рублей. Такое исполнение бюджетных назначений обусловлено зачетом переплаты отдельными плательщиками в связи с получением временных разрешений на выбросы и сбросы загрязняющих веществ в окружающую среду.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Доходов от оказания платных услуг и компенсации затрат г</w:t>
      </w:r>
      <w:r>
        <w:rPr>
          <w:sz w:val="28"/>
          <w:szCs w:val="28"/>
        </w:rPr>
        <w:t xml:space="preserve">осударства поступило 617,9 млн. рублей, или 140,5 процента от плановых назначений. Высокое исполнение бюджетных назначений обусловлено возвратом дебиторской задолженности прошлых лет в доход бюджета, в том числе возврат выплат, которые были направлены граж</w:t>
      </w:r>
      <w:r>
        <w:rPr>
          <w:sz w:val="28"/>
          <w:szCs w:val="28"/>
        </w:rPr>
        <w:t xml:space="preserve">данам в 2024 году на восстановление жилых помещений, поврежденных в результате чрезвычайной ситуации, обусловленной весенним паводком в Оренбургской области в 2024 году, а также возвратом излишне полученных социальных выплат, выявленных в отчетном периоде.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Доходов от продажи материальных и нематериальных активов поступило в бюджет в сумме 1 375,2 млн. рублей, что составляет 99,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процента от плановых назначений. Такое исполнение бюджетных назначений связано с поступлением доходов от продажи земельных участков, находящихся в государственной и муниципальной собственности.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Штрафов, санкций и возмещение ущерба поступило в бюджет в сумме                                   3 635,3 млн. руб</w:t>
      </w:r>
      <w:r>
        <w:rPr>
          <w:sz w:val="28"/>
          <w:szCs w:val="28"/>
        </w:rPr>
        <w:t xml:space="preserve">лей, что составляет 122,6 процента от плановых назначений и превышает исполнение за аналогичный период прошлого года на 46,1 процента, или на 1 146,6 млн. рублей. Высокое исполнение бюджетных назначений обусловлено увеличением поступлений административных </w:t>
      </w:r>
      <w:r>
        <w:rPr>
          <w:sz w:val="28"/>
          <w:szCs w:val="28"/>
        </w:rPr>
        <w:t xml:space="preserve">штрафов за административные правонарушения в области дорожного движения в связи с изменением размеров штрафов за нарушение Правил дорожного движения и ростом поступлений сумм пеней, предусмотренных законодательством Российской Федерации о налогах и сборах.</w:t>
      </w: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в </w:t>
      </w:r>
      <w:r>
        <w:rPr>
          <w:sz w:val="28"/>
          <w:szCs w:val="28"/>
        </w:rPr>
        <w:t xml:space="preserve">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году получены в сумме                   </w:t>
      </w:r>
      <w:r>
        <w:rPr>
          <w:sz w:val="28"/>
          <w:szCs w:val="28"/>
        </w:rPr>
        <w:t xml:space="preserve">43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276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рублей, из них </w:t>
      </w:r>
      <w:r>
        <w:rPr>
          <w:sz w:val="28"/>
          <w:szCs w:val="28"/>
        </w:rPr>
        <w:t xml:space="preserve">42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408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безвозмездные поступления от других бюджетов бюджетной системы, в том числе дотаци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372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млн. рублей, субсиди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19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067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рублей, субвенци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090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рублей, ины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877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</w:t>
      </w:r>
      <w:r>
        <w:rPr>
          <w:sz w:val="28"/>
          <w:szCs w:val="28"/>
        </w:rPr>
        <w:t xml:space="preserve">лей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  <w:highlight w:val="lightGray"/>
        </w:rPr>
      </w:pPr>
      <w:r>
        <w:rPr>
          <w:b/>
          <w:sz w:val="28"/>
          <w:szCs w:val="28"/>
          <w:highlight w:val="lightGray"/>
        </w:rPr>
      </w:r>
      <w:r>
        <w:rPr>
          <w:b/>
          <w:sz w:val="28"/>
          <w:szCs w:val="28"/>
          <w:highlight w:val="lightGray"/>
        </w:rPr>
      </w:r>
      <w:r>
        <w:rPr>
          <w:b/>
          <w:sz w:val="28"/>
          <w:szCs w:val="28"/>
          <w:highlight w:val="lightGray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консолидированного бюджета области за </w:t>
      </w:r>
      <w:r>
        <w:rPr>
          <w:sz w:val="28"/>
          <w:szCs w:val="28"/>
        </w:rPr>
        <w:t xml:space="preserve">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 с учетом средств внебюджетных фондов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произведены</w:t>
      </w:r>
      <w:r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195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</w:t>
      </w:r>
      <w:r>
        <w:rPr>
          <w:sz w:val="28"/>
          <w:szCs w:val="28"/>
        </w:rPr>
        <w:t xml:space="preserve">, что </w:t>
      </w:r>
      <w:r>
        <w:rPr>
          <w:sz w:val="28"/>
          <w:szCs w:val="28"/>
        </w:rPr>
        <w:t xml:space="preserve">составляет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процента </w:t>
      </w:r>
      <w:r>
        <w:rPr>
          <w:sz w:val="28"/>
          <w:szCs w:val="28"/>
        </w:rPr>
        <w:t xml:space="preserve">от</w:t>
      </w:r>
      <w:r>
        <w:rPr>
          <w:sz w:val="28"/>
          <w:szCs w:val="28"/>
        </w:rPr>
        <w:t xml:space="preserve"> уточненны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плановы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назначени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асходы без учета средств внебюджетных фондов </w:t>
      </w:r>
      <w:r>
        <w:rPr>
          <w:sz w:val="28"/>
          <w:szCs w:val="28"/>
        </w:rPr>
        <w:t xml:space="preserve">произведены</w:t>
      </w:r>
      <w:r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18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410</w:t>
      </w:r>
      <w:r>
        <w:rPr>
          <w:sz w:val="28"/>
          <w:szCs w:val="28"/>
        </w:rPr>
        <w:t xml:space="preserve">,4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к плановым назначениям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Общегосударственные вопросы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  <w:outlineLvl w:val="2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общегосударственные вопросы составили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119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млн. рублей при плановых назначениях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646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млн. рублей, что составляет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процента.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0102 «Функционирование высшего должностного лица субъекта Российской Федерации и муниципального образования»</w:t>
      </w:r>
      <w:r>
        <w:rPr>
          <w:sz w:val="28"/>
          <w:szCs w:val="28"/>
        </w:rPr>
        <w:t xml:space="preserve"> расходы профинансированы в сумме </w:t>
      </w:r>
      <w:r>
        <w:rPr>
          <w:sz w:val="28"/>
          <w:szCs w:val="28"/>
        </w:rPr>
        <w:t xml:space="preserve">656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9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процента от годовых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0103 «Функционирование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>
        <w:rPr>
          <w:sz w:val="28"/>
          <w:szCs w:val="28"/>
        </w:rPr>
        <w:t xml:space="preserve">расходы профинансированы в сумме </w:t>
      </w:r>
      <w:r>
        <w:rPr>
          <w:sz w:val="28"/>
          <w:szCs w:val="28"/>
        </w:rPr>
        <w:t xml:space="preserve">43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9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процента от годовых назначений.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>
        <w:rPr>
          <w:sz w:val="28"/>
          <w:szCs w:val="28"/>
        </w:rPr>
        <w:t xml:space="preserve">расходы профинансированы в сумме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697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процента от годовых назначений.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0105 «Судебная система» </w:t>
      </w:r>
      <w:r>
        <w:rPr>
          <w:sz w:val="28"/>
          <w:szCs w:val="28"/>
        </w:rPr>
        <w:t xml:space="preserve">расходы профинансированы в сумме 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60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99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процента от годовых назначений.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0106 «Обеспечение деятельности финансовых, налоговых и таможенных органов и органов финансового (финансово-бюджетного) надзора» </w:t>
      </w:r>
      <w:r>
        <w:rPr>
          <w:sz w:val="28"/>
          <w:szCs w:val="28"/>
        </w:rPr>
        <w:t xml:space="preserve">расходы профинансированы в сумме </w:t>
      </w:r>
      <w:r>
        <w:rPr>
          <w:sz w:val="28"/>
          <w:szCs w:val="28"/>
        </w:rPr>
        <w:t xml:space="preserve">1 </w:t>
      </w:r>
      <w:r>
        <w:rPr>
          <w:sz w:val="28"/>
          <w:szCs w:val="28"/>
        </w:rPr>
        <w:t xml:space="preserve">208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процента от годовых назначений.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0107 «Обеспечение проведения выборов и референдумов» </w:t>
      </w:r>
      <w:r>
        <w:rPr>
          <w:sz w:val="28"/>
          <w:szCs w:val="28"/>
        </w:rPr>
        <w:t xml:space="preserve">расходы профинансированы в сумме </w:t>
      </w:r>
      <w:r>
        <w:rPr>
          <w:sz w:val="28"/>
          <w:szCs w:val="28"/>
        </w:rPr>
        <w:t xml:space="preserve">771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99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процента от годовых назначений.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0112 «Прикладные научные исследования в области общегосударственных вопросов»</w:t>
      </w:r>
      <w:r>
        <w:rPr>
          <w:sz w:val="28"/>
          <w:szCs w:val="28"/>
        </w:rPr>
        <w:t xml:space="preserve"> расходы профинансированы в сумме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млн. рублей, или на 99,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процента от годовых назначений.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0113 «Другие общегосударственные вопросы» </w:t>
      </w:r>
      <w:r>
        <w:rPr>
          <w:sz w:val="28"/>
          <w:szCs w:val="28"/>
        </w:rPr>
        <w:t xml:space="preserve">расходы профинансированы в сумме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576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85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процента от годовых назначений.</w:t>
      </w:r>
      <w:r>
        <w:t xml:space="preserve"> </w:t>
      </w:r>
      <w:r>
        <w:rPr>
          <w:sz w:val="28"/>
          <w:szCs w:val="28"/>
        </w:rPr>
        <w:t xml:space="preserve">Исполнение сложилось исходя из фактически представленных документов.</w:t>
      </w:r>
      <w:r>
        <w:t xml:space="preserve">  </w:t>
      </w:r>
      <w:r>
        <w:rPr>
          <w:sz w:val="28"/>
          <w:szCs w:val="28"/>
        </w:rPr>
        <w:t xml:space="preserve">Также в соответствии с постановлением Правительства Оренбургской области от 25.12.2018 № 886-пп «Об утверждении государственной программы «Управл</w:t>
      </w:r>
      <w:r>
        <w:rPr>
          <w:sz w:val="28"/>
          <w:szCs w:val="28"/>
        </w:rPr>
        <w:t xml:space="preserve">ение государственными финансами и государственным долгом Оренбургской области» средства на мероприятия по стабилизации финансовой ситуации в Оренбургской области отражаются в составе расходов по подразделу 0113 «Другие общегосударственные вопросы» в сумме </w:t>
      </w:r>
      <w:r>
        <w:rPr>
          <w:sz w:val="28"/>
          <w:szCs w:val="28"/>
        </w:rPr>
        <w:t xml:space="preserve">764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рублей, при этом лимиты бюджетных обязательств по данным расходам не доводятся.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  <w:outlineLvl w:val="2"/>
      </w:pPr>
      <w:r>
        <w:rPr>
          <w:b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  <w:highlight w:val="none"/>
        </w:rPr>
        <w:outlineLvl w:val="2"/>
      </w:pPr>
      <w:r>
        <w:rPr>
          <w:b/>
          <w:sz w:val="28"/>
          <w:szCs w:val="28"/>
        </w:rPr>
        <w:t xml:space="preserve">Национальная оборона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jc w:val="center"/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02 «Национальная оборона» расходы профинансированы в сумме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9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процента к плану.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 подразделу 0203 «</w:t>
      </w:r>
      <w:r>
        <w:rPr>
          <w:i/>
          <w:sz w:val="28"/>
          <w:szCs w:val="28"/>
        </w:rPr>
        <w:t xml:space="preserve">Мобилизационная и в</w:t>
      </w:r>
      <w:r>
        <w:rPr>
          <w:i/>
          <w:sz w:val="28"/>
          <w:szCs w:val="28"/>
        </w:rPr>
        <w:t xml:space="preserve">невойсковая подготовка»</w:t>
      </w:r>
      <w:r>
        <w:rPr>
          <w:sz w:val="28"/>
          <w:szCs w:val="28"/>
        </w:rPr>
        <w:t xml:space="preserve"> расходы профинансированы в объеме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08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99,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.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0204 «Мобилизационная подготовка экономики</w:t>
      </w:r>
      <w:r>
        <w:rPr>
          <w:sz w:val="28"/>
          <w:szCs w:val="28"/>
        </w:rPr>
        <w:t xml:space="preserve">» расходы профинансированы в объеме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Финансирование осуществлялось на основании актов выполненных работ и иных документов, предоставляемых в соответствии со сроками возникновения денежных обязательств.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Национальная безопасность и </w:t>
      </w:r>
      <w:r>
        <w:rPr>
          <w:b/>
          <w:sz w:val="28"/>
          <w:szCs w:val="28"/>
        </w:rPr>
        <w:t xml:space="preserve">п</w:t>
      </w:r>
      <w:r>
        <w:rPr>
          <w:b/>
          <w:sz w:val="28"/>
          <w:szCs w:val="28"/>
        </w:rPr>
        <w:t xml:space="preserve">равоохранительная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деятельность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</w:t>
      </w:r>
      <w:r>
        <w:rPr>
          <w:sz w:val="28"/>
          <w:szCs w:val="28"/>
        </w:rPr>
        <w:t xml:space="preserve"> консолидированного бюджета</w:t>
      </w:r>
      <w:r>
        <w:rPr>
          <w:sz w:val="28"/>
          <w:szCs w:val="28"/>
        </w:rPr>
        <w:t xml:space="preserve"> на национальную безопасность и правоохранительную деятельность </w:t>
      </w:r>
      <w:r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1 </w:t>
      </w:r>
      <w:r>
        <w:rPr>
          <w:sz w:val="28"/>
          <w:szCs w:val="28"/>
        </w:rPr>
        <w:t xml:space="preserve">763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млн. рублей при плановых назначениях </w:t>
      </w:r>
      <w:r>
        <w:rPr>
          <w:sz w:val="28"/>
          <w:szCs w:val="28"/>
        </w:rPr>
        <w:t xml:space="preserve">1 </w:t>
      </w:r>
      <w:r>
        <w:rPr>
          <w:sz w:val="28"/>
          <w:szCs w:val="28"/>
        </w:rPr>
        <w:t xml:space="preserve">804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млн. рублей, что составляет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процента.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0304 «Органы юстиции» </w:t>
      </w:r>
      <w:r>
        <w:rPr>
          <w:sz w:val="28"/>
          <w:szCs w:val="28"/>
        </w:rPr>
        <w:t xml:space="preserve">расходы профинансированы в сумме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61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98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годовых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под</w:t>
      </w:r>
      <w:r>
        <w:rPr>
          <w:sz w:val="28"/>
          <w:szCs w:val="28"/>
        </w:rPr>
        <w:t xml:space="preserve">разделу 0309 «Гражданская оборона» расходы профинансированы в сумме </w:t>
      </w:r>
      <w:r>
        <w:rPr>
          <w:sz w:val="28"/>
          <w:szCs w:val="28"/>
        </w:rPr>
        <w:t xml:space="preserve">32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млн. рублей, или на </w:t>
      </w:r>
      <w:r>
        <w:rPr>
          <w:sz w:val="28"/>
          <w:szCs w:val="28"/>
        </w:rPr>
        <w:t xml:space="preserve">99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процентов от годовых бюджетных назначений.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под</w:t>
      </w:r>
      <w:r>
        <w:rPr>
          <w:sz w:val="28"/>
          <w:szCs w:val="28"/>
        </w:rPr>
        <w:t xml:space="preserve">разделу 0310 «Защита населения и территории от чрезвычайных ситуаций природного и техногенного характера, пожарная безопасность» расходы профинансированы в сумме 1 </w:t>
      </w:r>
      <w:r>
        <w:rPr>
          <w:sz w:val="28"/>
          <w:szCs w:val="28"/>
        </w:rPr>
        <w:t xml:space="preserve">508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млн. рублей, или на 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процентов от годовых бюджетных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  <w:highlight w:val="yellow"/>
        </w:rPr>
      </w:pPr>
      <w:r>
        <w:rPr>
          <w:i/>
          <w:sz w:val="28"/>
          <w:szCs w:val="28"/>
        </w:rPr>
        <w:t xml:space="preserve">По подразделу 0314 «Другие вопросы в области национальной безопасности и правоохранительной деятельности» </w:t>
      </w:r>
      <w:r>
        <w:rPr>
          <w:sz w:val="28"/>
          <w:szCs w:val="28"/>
        </w:rPr>
        <w:t xml:space="preserve">расходы профинансированы в сумме </w:t>
      </w:r>
      <w:r>
        <w:rPr>
          <w:sz w:val="28"/>
          <w:szCs w:val="28"/>
        </w:rPr>
        <w:t xml:space="preserve">61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91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процента от годовых назначений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Низкое исполнение связано с тем, что расходы носят заявительный характер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ind w:firstLine="708"/>
        <w:jc w:val="both"/>
        <w:rPr>
          <w:highlight w:val="lightGray"/>
        </w:rPr>
      </w:pPr>
      <w:r>
        <w:rPr>
          <w:highlight w:val="lightGray"/>
        </w:rPr>
      </w:r>
      <w:r>
        <w:rPr>
          <w:highlight w:val="lightGray"/>
        </w:rPr>
      </w:r>
      <w:r>
        <w:rPr>
          <w:highlight w:val="lightGray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Национальная экономика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консолидированного бюджета на национальную экономику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42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134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9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процента от плановых назначений.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0401 «Общеэкономические вопросы» </w:t>
      </w:r>
      <w:r>
        <w:rPr>
          <w:sz w:val="28"/>
          <w:szCs w:val="28"/>
        </w:rPr>
        <w:t xml:space="preserve">расходы консолидированного бюджета произведены в сумме </w:t>
      </w:r>
      <w:r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251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99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плана</w:t>
      </w:r>
      <w:r>
        <w:rPr>
          <w:sz w:val="28"/>
          <w:szCs w:val="28"/>
        </w:rPr>
        <w:t xml:space="preserve">.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0402 «Топливно-энергетический комплекс» </w:t>
      </w:r>
      <w:r>
        <w:rPr>
          <w:sz w:val="28"/>
          <w:szCs w:val="28"/>
        </w:rPr>
        <w:t xml:space="preserve">расходы консолидированного бюджета произведены в сумме </w:t>
      </w:r>
      <w:r>
        <w:rPr>
          <w:sz w:val="28"/>
          <w:szCs w:val="28"/>
        </w:rPr>
        <w:t xml:space="preserve">15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плана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Финансирование осуществлялось на основании заявок получателей субсидии исходя </w:t>
      </w:r>
      <w:r>
        <w:rPr>
          <w:sz w:val="28"/>
          <w:szCs w:val="28"/>
        </w:rPr>
        <w:t xml:space="preserve">из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объема</w:t>
      </w:r>
      <w:r>
        <w:rPr>
          <w:sz w:val="28"/>
          <w:szCs w:val="28"/>
        </w:rPr>
        <w:t xml:space="preserve"> реализуемого населению твердого топлива по цене, установленной Правительством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По подразделу 0404 «Воспроизводство минерально-сырьевой базы» </w:t>
      </w:r>
      <w:r>
        <w:rPr>
          <w:sz w:val="28"/>
          <w:szCs w:val="28"/>
        </w:rPr>
        <w:t xml:space="preserve">расходы профинансированы в сумме</w:t>
      </w:r>
      <w: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процента от годовых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0405 «Сельское хозяйство и рыболовство» </w:t>
      </w:r>
      <w:r>
        <w:rPr>
          <w:sz w:val="28"/>
          <w:szCs w:val="28"/>
        </w:rPr>
        <w:t xml:space="preserve">расходы консолидированного бюджета исполнены в сумме </w:t>
      </w:r>
      <w:r>
        <w:rPr>
          <w:sz w:val="28"/>
          <w:szCs w:val="28"/>
        </w:rPr>
        <w:t xml:space="preserve">4 </w:t>
      </w:r>
      <w:r>
        <w:rPr>
          <w:sz w:val="28"/>
          <w:szCs w:val="28"/>
        </w:rPr>
        <w:t xml:space="preserve">574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 от годовых назначений.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0406 «Водн</w:t>
      </w:r>
      <w:r>
        <w:rPr>
          <w:i/>
          <w:sz w:val="28"/>
          <w:szCs w:val="28"/>
        </w:rPr>
        <w:t xml:space="preserve">о</w:t>
      </w:r>
      <w:r>
        <w:rPr>
          <w:i/>
          <w:sz w:val="28"/>
          <w:szCs w:val="28"/>
        </w:rPr>
        <w:t xml:space="preserve">е </w:t>
      </w:r>
      <w:r>
        <w:rPr>
          <w:i/>
          <w:sz w:val="28"/>
          <w:szCs w:val="28"/>
        </w:rPr>
        <w:t xml:space="preserve">хозяйство</w:t>
      </w:r>
      <w:r>
        <w:rPr>
          <w:i/>
          <w:sz w:val="28"/>
          <w:szCs w:val="28"/>
        </w:rPr>
        <w:t xml:space="preserve">»</w:t>
      </w:r>
      <w:r>
        <w:rPr>
          <w:sz w:val="28"/>
          <w:szCs w:val="28"/>
        </w:rPr>
        <w:t xml:space="preserve"> расходы консолидированного бюджета исполнены в сумме </w:t>
      </w:r>
      <w:r>
        <w:rPr>
          <w:sz w:val="28"/>
          <w:szCs w:val="28"/>
        </w:rPr>
        <w:t xml:space="preserve">145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процента от годовых назначений.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Финансирование осуществлялось на основании актов выполненных работ и иных документов, предоставляемых в соответствии со сроками возникновения денежных обязательств.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0407</w:t>
      </w:r>
      <w:r>
        <w:rPr>
          <w:i/>
          <w:sz w:val="28"/>
          <w:szCs w:val="28"/>
        </w:rPr>
        <w:t xml:space="preserve"> </w:t>
      </w:r>
      <w:r>
        <w:rPr>
          <w:i/>
        </w:rPr>
        <w:t xml:space="preserve">«</w:t>
      </w:r>
      <w:r>
        <w:rPr>
          <w:i/>
          <w:sz w:val="28"/>
          <w:szCs w:val="28"/>
        </w:rPr>
        <w:t xml:space="preserve">Лесное хозяйство»</w:t>
      </w:r>
      <w:r>
        <w:rPr>
          <w:sz w:val="28"/>
          <w:szCs w:val="28"/>
        </w:rPr>
        <w:t xml:space="preserve"> расходы исполнены в сумме 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69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процента от годовых бюджетных назначений</w:t>
      </w:r>
      <w:r>
        <w:rPr>
          <w:sz w:val="28"/>
          <w:szCs w:val="28"/>
        </w:rPr>
        <w:t xml:space="preserve">.</w:t>
      </w:r>
      <w: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0408</w:t>
      </w:r>
      <w:r>
        <w:rPr>
          <w:i/>
        </w:rPr>
        <w:t xml:space="preserve"> </w:t>
      </w:r>
      <w:r>
        <w:rPr>
          <w:i/>
          <w:sz w:val="28"/>
          <w:szCs w:val="28"/>
        </w:rPr>
        <w:t xml:space="preserve">«Транспорт» </w:t>
      </w:r>
      <w:r>
        <w:rPr>
          <w:sz w:val="28"/>
          <w:szCs w:val="28"/>
        </w:rPr>
        <w:t xml:space="preserve">расходы консолидированного бюджета исполнены в сумме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077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рублей, что составляет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процента от годовых назначений.</w:t>
      </w:r>
      <w: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0409</w:t>
      </w:r>
      <w:r>
        <w:rPr>
          <w:i/>
        </w:rPr>
        <w:t xml:space="preserve"> </w:t>
      </w:r>
      <w:r>
        <w:rPr>
          <w:i/>
          <w:sz w:val="28"/>
          <w:szCs w:val="28"/>
        </w:rPr>
        <w:t xml:space="preserve">«Дорожное хозяйство (дорожные фонды)» </w:t>
      </w:r>
      <w:r>
        <w:rPr>
          <w:sz w:val="28"/>
          <w:szCs w:val="28"/>
        </w:rPr>
        <w:t xml:space="preserve">расходы консолидированного бюджета на строительство, реконструкцию, содержание, капитальный ремонт и ремонт дорог общего пользования, безопасность дорожного движения составили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73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9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процента от годовых назначений.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Финансирование осуществлялось на основании актов выполненных работ.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both"/>
      </w:pPr>
      <w:r>
        <w:rPr>
          <w:i/>
          <w:sz w:val="28"/>
          <w:szCs w:val="28"/>
        </w:rPr>
        <w:t xml:space="preserve">По подразделу 0410 «Связь и информатика» </w:t>
      </w:r>
      <w:r>
        <w:rPr>
          <w:sz w:val="28"/>
          <w:szCs w:val="28"/>
        </w:rPr>
        <w:t xml:space="preserve">расходы профинансированы </w:t>
      </w:r>
      <w:r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1 </w:t>
      </w:r>
      <w:r>
        <w:rPr>
          <w:sz w:val="28"/>
          <w:szCs w:val="28"/>
        </w:rPr>
        <w:t xml:space="preserve">316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процента от годовых назначений.</w:t>
      </w:r>
      <w:r>
        <w:t xml:space="preserve"> </w:t>
      </w:r>
      <w:r/>
    </w:p>
    <w:p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0412 «Другие вопросы в области национальной экономики» </w:t>
      </w:r>
      <w:r>
        <w:rPr>
          <w:sz w:val="28"/>
          <w:szCs w:val="28"/>
        </w:rPr>
        <w:t xml:space="preserve">расходы консолидированного бюджета области составили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259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9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процента от годовых назначений.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Финансирование мероприятий государственных и муниципальных программ осуществлялось в соответствии с представленными заявками-расчетами, графиками перечисления субсидий на выполнение государственного (муниципального) задания.</w:t>
      </w: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Жилищно-коммунальное хозяйство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b/>
          <w:sz w:val="28"/>
          <w:szCs w:val="28"/>
          <w:highlight w:val="lightGray"/>
        </w:rPr>
      </w:pPr>
      <w:r>
        <w:rPr>
          <w:b/>
          <w:sz w:val="28"/>
          <w:szCs w:val="28"/>
          <w:highlight w:val="lightGray"/>
        </w:rPr>
      </w:r>
      <w:r>
        <w:rPr>
          <w:b/>
          <w:sz w:val="28"/>
          <w:szCs w:val="28"/>
          <w:highlight w:val="lightGray"/>
        </w:rPr>
      </w:r>
      <w:r>
        <w:rPr>
          <w:b/>
          <w:sz w:val="28"/>
          <w:szCs w:val="28"/>
          <w:highlight w:val="lightGray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консолидированного бюджета области на жилищно-коммунальное хозяйство составили</w:t>
      </w:r>
      <w:r>
        <w:t xml:space="preserve"> </w:t>
      </w:r>
      <w: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10 313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 от плановых назначений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</w:t>
      </w:r>
      <w:r>
        <w:rPr>
          <w:i/>
          <w:sz w:val="28"/>
          <w:szCs w:val="28"/>
        </w:rPr>
        <w:t xml:space="preserve">о подразделу 0501 «Жилищное хозяйство»</w:t>
      </w:r>
      <w:r>
        <w:rPr>
          <w:sz w:val="28"/>
          <w:szCs w:val="28"/>
        </w:rPr>
        <w:t xml:space="preserve"> расходы консолидированного бюджета области составили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493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90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процента от годовых </w:t>
      </w:r>
      <w:r>
        <w:rPr>
          <w:sz w:val="28"/>
          <w:szCs w:val="28"/>
        </w:rPr>
        <w:t xml:space="preserve">назначений. </w:t>
      </w:r>
      <w:r>
        <w:rPr>
          <w:sz w:val="28"/>
          <w:szCs w:val="28"/>
        </w:rPr>
        <w:t xml:space="preserve">Финансирование осуществлялось на основании актов выполненных работ и иных документов, предоставляемых в соответствии со сроками возникновения денежных обязательств.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</w:t>
      </w:r>
      <w:r>
        <w:rPr>
          <w:i/>
          <w:sz w:val="28"/>
          <w:szCs w:val="28"/>
        </w:rPr>
        <w:t xml:space="preserve">о подразделу 0502 «Коммунальное хозяйство»</w:t>
      </w:r>
      <w:r>
        <w:rPr>
          <w:sz w:val="28"/>
          <w:szCs w:val="28"/>
        </w:rPr>
        <w:t xml:space="preserve"> расходы консолидированного бюджета составили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901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млн</w:t>
      </w:r>
      <w:r>
        <w:rPr>
          <w:sz w:val="28"/>
          <w:szCs w:val="28"/>
        </w:rPr>
        <w:t xml:space="preserve">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95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процента от годового объема бюджетных назначений.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Финансирование осуществлялось на основании актов выполненных работ.</w:t>
      </w:r>
      <w: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</w:t>
      </w:r>
      <w:r>
        <w:rPr>
          <w:i/>
          <w:sz w:val="28"/>
          <w:szCs w:val="28"/>
        </w:rPr>
        <w:t xml:space="preserve">о подразделу 0503 «Благоустройство»</w:t>
      </w:r>
      <w:r>
        <w:rPr>
          <w:sz w:val="28"/>
          <w:szCs w:val="28"/>
        </w:rPr>
        <w:t xml:space="preserve"> расходы консолидированного </w:t>
      </w:r>
      <w:r>
        <w:rPr>
          <w:sz w:val="28"/>
          <w:szCs w:val="28"/>
        </w:rPr>
        <w:t xml:space="preserve">бюджета составили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576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процента от годовых назначений.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Финансирование осуществлялось на основании актов выполненных работ и иных документов, подтверждающих возникновение денежных обязательств.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0505 «Другие вопросы в области жилищно-коммунальное хозяйства» </w:t>
      </w:r>
      <w:r>
        <w:rPr>
          <w:sz w:val="28"/>
          <w:szCs w:val="28"/>
        </w:rPr>
        <w:t xml:space="preserve">расходы консолидированного бюджета области исполнены в сумме </w:t>
      </w:r>
      <w:r>
        <w:rPr>
          <w:sz w:val="28"/>
          <w:szCs w:val="28"/>
        </w:rPr>
        <w:t xml:space="preserve">1 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42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млн. рублей, или 9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процентов от годовых назначений.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  <w:highlight w:val="lightGray"/>
        </w:rPr>
      </w:pPr>
      <w:r>
        <w:rPr>
          <w:b/>
          <w:sz w:val="28"/>
          <w:szCs w:val="28"/>
          <w:highlight w:val="lightGray"/>
        </w:rPr>
      </w:r>
      <w:r>
        <w:rPr>
          <w:b/>
          <w:sz w:val="28"/>
          <w:szCs w:val="28"/>
          <w:highlight w:val="lightGray"/>
        </w:rPr>
      </w:r>
      <w:r>
        <w:rPr>
          <w:b/>
          <w:sz w:val="28"/>
          <w:szCs w:val="28"/>
          <w:highlight w:val="lightGray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Охрана окружающей среды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консолидированного бюджета на охрану окружающей среды исполнены в сумме </w:t>
      </w:r>
      <w:r>
        <w:rPr>
          <w:sz w:val="28"/>
          <w:szCs w:val="28"/>
        </w:rPr>
        <w:t xml:space="preserve">544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процента от годовых назначений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</w:t>
      </w:r>
      <w:r>
        <w:rPr>
          <w:i/>
          <w:sz w:val="28"/>
          <w:szCs w:val="28"/>
        </w:rPr>
        <w:t xml:space="preserve">о подразделу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0601 «Экологический контроль»</w:t>
      </w:r>
      <w:r>
        <w:rPr>
          <w:sz w:val="28"/>
          <w:szCs w:val="28"/>
        </w:rPr>
        <w:t xml:space="preserve"> расходы консолидированного бюджета области исполнены в сумме </w:t>
      </w:r>
      <w:r>
        <w:rPr>
          <w:sz w:val="28"/>
          <w:szCs w:val="28"/>
        </w:rPr>
        <w:t xml:space="preserve">126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годовых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</w:t>
      </w:r>
      <w:r>
        <w:rPr>
          <w:i/>
          <w:sz w:val="28"/>
          <w:szCs w:val="28"/>
        </w:rPr>
        <w:t xml:space="preserve">о подразделу 0603</w:t>
      </w:r>
      <w:r>
        <w:rPr>
          <w:i/>
        </w:rPr>
        <w:t xml:space="preserve"> «</w:t>
      </w:r>
      <w:r>
        <w:rPr>
          <w:i/>
          <w:sz w:val="28"/>
          <w:szCs w:val="28"/>
        </w:rPr>
        <w:t xml:space="preserve">Охрана объектов растительных и животного мира и среды их обитания» </w:t>
      </w:r>
      <w:r>
        <w:rPr>
          <w:sz w:val="28"/>
          <w:szCs w:val="28"/>
        </w:rPr>
        <w:t xml:space="preserve">расходы консолидированного бюджета области исполнены в сумме </w:t>
      </w:r>
      <w:r>
        <w:rPr>
          <w:sz w:val="28"/>
          <w:szCs w:val="28"/>
        </w:rPr>
        <w:t xml:space="preserve">87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процента от годовых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0605 «Другие вопросы в области охраны окружающей среды»</w:t>
      </w:r>
      <w:r>
        <w:rPr>
          <w:sz w:val="28"/>
          <w:szCs w:val="28"/>
        </w:rPr>
        <w:t xml:space="preserve"> расходы консолидированного бюджета области исполнены в сумме        </w:t>
      </w:r>
      <w:r>
        <w:rPr>
          <w:sz w:val="28"/>
          <w:szCs w:val="28"/>
        </w:rPr>
        <w:t xml:space="preserve">329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79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процентов от годовых </w:t>
      </w:r>
      <w:r>
        <w:rPr>
          <w:sz w:val="28"/>
          <w:szCs w:val="28"/>
        </w:rPr>
        <w:t xml:space="preserve">назначений.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Финансирование осуществлялось на основании актов выполненных работ и иных документов, подтверждающих возникновение денежных обязательств.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</w:p>
    <w:p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Образование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консолидированного бюджета </w:t>
      </w:r>
      <w:r>
        <w:rPr>
          <w:sz w:val="28"/>
          <w:szCs w:val="28"/>
        </w:rPr>
        <w:t xml:space="preserve">на о</w:t>
      </w:r>
      <w:r>
        <w:rPr>
          <w:sz w:val="28"/>
          <w:szCs w:val="28"/>
        </w:rPr>
        <w:t xml:space="preserve">бразование </w:t>
      </w:r>
      <w:r>
        <w:rPr>
          <w:sz w:val="28"/>
          <w:szCs w:val="28"/>
        </w:rPr>
        <w:t xml:space="preserve">произведены</w:t>
      </w:r>
      <w:r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64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690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процента </w:t>
      </w:r>
      <w:r>
        <w:rPr>
          <w:sz w:val="28"/>
          <w:szCs w:val="28"/>
        </w:rPr>
        <w:t xml:space="preserve">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плановы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назначени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0701 «Дошкольное образование» </w:t>
      </w:r>
      <w:r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 xml:space="preserve">произведе</w:t>
      </w:r>
      <w:r>
        <w:rPr>
          <w:sz w:val="28"/>
          <w:szCs w:val="28"/>
        </w:rPr>
        <w:t xml:space="preserve">ны в сумме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879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процента от годовых назначений.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i/>
          <w:sz w:val="28"/>
          <w:szCs w:val="28"/>
        </w:rPr>
        <w:t xml:space="preserve">По подразделу 0702 «Общее образование» </w:t>
      </w:r>
      <w:r>
        <w:rPr>
          <w:sz w:val="28"/>
          <w:szCs w:val="28"/>
        </w:rPr>
        <w:t xml:space="preserve">расходы составили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380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9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процента</w:t>
      </w:r>
      <w:r>
        <w:rPr>
          <w:sz w:val="28"/>
          <w:szCs w:val="28"/>
        </w:rPr>
        <w:t xml:space="preserve"> от годовых назначений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 данному подразделу произведены расходы на строительство (приобретению) объектов общего образования муниципальной собственности в сумме 2 870,5 млн. рублей, или 99,8 процента от годовых бюджетных назначений. Финансиро</w:t>
      </w:r>
      <w:r>
        <w:rPr>
          <w:sz w:val="28"/>
          <w:szCs w:val="28"/>
          <w:highlight w:val="white"/>
        </w:rPr>
        <w:t xml:space="preserve">вание осуществлялось на основании актов выполненных работ и иных документов, подтверждающих возникновение денежных обязательств.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0703 «Дополнительное образование детей» </w:t>
      </w:r>
      <w:r>
        <w:rPr>
          <w:sz w:val="28"/>
          <w:szCs w:val="28"/>
        </w:rPr>
        <w:t xml:space="preserve">расходы профинансированы в сумме 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995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процента от годовых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0704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«Среднее профессиональное образование» </w:t>
      </w:r>
      <w:r>
        <w:rPr>
          <w:sz w:val="28"/>
          <w:szCs w:val="28"/>
        </w:rPr>
        <w:t xml:space="preserve">расходы профинансированы в сумме 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105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99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процента от годовых назначений.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По подразделу 0705 «Профессиональная подготовка, переподготовка и повышение квалификации»</w:t>
      </w:r>
      <w:r>
        <w:rPr>
          <w:sz w:val="28"/>
          <w:szCs w:val="28"/>
        </w:rPr>
        <w:t xml:space="preserve"> расходы произведены на сумму </w:t>
      </w:r>
      <w:r>
        <w:rPr>
          <w:sz w:val="28"/>
          <w:szCs w:val="28"/>
        </w:rPr>
        <w:t xml:space="preserve">69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млн. рублей, что составило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к плановым назначениям.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0706 «Высшее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образование»</w:t>
      </w:r>
      <w:r>
        <w:rPr>
          <w:sz w:val="28"/>
          <w:szCs w:val="28"/>
        </w:rPr>
        <w:t xml:space="preserve"> расходы произведены на сумму </w:t>
      </w:r>
      <w:r>
        <w:rPr>
          <w:sz w:val="28"/>
          <w:szCs w:val="28"/>
        </w:rPr>
        <w:t xml:space="preserve">260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млн. рублей, что составило </w:t>
      </w:r>
      <w:r>
        <w:rPr>
          <w:sz w:val="28"/>
          <w:szCs w:val="28"/>
        </w:rPr>
        <w:t xml:space="preserve">99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к плановым назначениям.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0707 «Молодежная политика»</w:t>
      </w:r>
      <w:r>
        <w:rPr>
          <w:sz w:val="28"/>
          <w:szCs w:val="28"/>
        </w:rPr>
        <w:t xml:space="preserve"> расходы профинансированы в сумме </w:t>
      </w:r>
      <w:r>
        <w:rPr>
          <w:sz w:val="28"/>
          <w:szCs w:val="28"/>
        </w:rPr>
        <w:t xml:space="preserve">1 395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9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процента</w:t>
      </w:r>
      <w:r>
        <w:rPr>
          <w:sz w:val="28"/>
          <w:szCs w:val="28"/>
        </w:rPr>
        <w:t xml:space="preserve"> к плановым назначениям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0709 «Другие вопросы в области образования»</w:t>
      </w:r>
      <w:r>
        <w:rPr>
          <w:sz w:val="28"/>
          <w:szCs w:val="28"/>
        </w:rPr>
        <w:t xml:space="preserve"> расходы профинансированы в сумме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605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9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процента</w:t>
      </w:r>
      <w:r>
        <w:rPr>
          <w:sz w:val="28"/>
          <w:szCs w:val="28"/>
        </w:rPr>
        <w:t xml:space="preserve"> к плановым назначениям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Культура</w:t>
      </w:r>
      <w:r>
        <w:rPr>
          <w:b/>
          <w:sz w:val="28"/>
          <w:szCs w:val="28"/>
        </w:rPr>
        <w:t xml:space="preserve">,</w:t>
      </w:r>
      <w:r>
        <w:rPr>
          <w:b/>
          <w:sz w:val="28"/>
          <w:szCs w:val="28"/>
        </w:rPr>
        <w:t xml:space="preserve"> кинематография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консолидированного бюджета на к</w:t>
      </w:r>
      <w:r>
        <w:rPr>
          <w:sz w:val="28"/>
          <w:szCs w:val="28"/>
        </w:rPr>
        <w:t xml:space="preserve">ультур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 и кинематографи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произведены в сумме </w:t>
      </w:r>
      <w:r>
        <w:rPr>
          <w:sz w:val="28"/>
          <w:szCs w:val="28"/>
        </w:rPr>
        <w:t xml:space="preserve">7 </w:t>
      </w:r>
      <w:r>
        <w:rPr>
          <w:sz w:val="28"/>
          <w:szCs w:val="28"/>
        </w:rPr>
        <w:t xml:space="preserve">810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процента от </w:t>
      </w:r>
      <w:r>
        <w:rPr>
          <w:sz w:val="28"/>
          <w:szCs w:val="28"/>
        </w:rPr>
        <w:t xml:space="preserve">плановых</w:t>
      </w:r>
      <w:r>
        <w:rPr>
          <w:sz w:val="28"/>
          <w:szCs w:val="28"/>
        </w:rPr>
        <w:t xml:space="preserve"> назначений.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i/>
          <w:sz w:val="28"/>
          <w:szCs w:val="28"/>
        </w:rPr>
        <w:t xml:space="preserve">По подразделу 0801 «Культура» </w:t>
      </w:r>
      <w:r>
        <w:rPr>
          <w:sz w:val="28"/>
          <w:szCs w:val="28"/>
        </w:rPr>
        <w:t xml:space="preserve">расходы произведены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сумм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732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 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 процента</w:t>
      </w:r>
      <w:r>
        <w:rPr>
          <w:sz w:val="28"/>
          <w:szCs w:val="28"/>
        </w:rPr>
        <w:t xml:space="preserve"> от годовых назначений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По данному подразделу произведены расходы на строительство (реконструкцию) объектов на сумму 174,7 млн. рублей, или 100 процентов от годовых бюджетных назначений.</w:t>
      </w:r>
      <w:r>
        <w:rPr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Финансирование осуществлялось на основании актов выполненных работ и иных документов, подтверждающих возникновение денежных обязательств.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 подразделу 0802 «Кинематография» </w:t>
      </w:r>
      <w:r>
        <w:rPr>
          <w:sz w:val="28"/>
          <w:szCs w:val="28"/>
        </w:rPr>
        <w:t xml:space="preserve">расходы произведены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 сумм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 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 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годовых назначений</w:t>
      </w:r>
      <w:r>
        <w:rPr>
          <w:sz w:val="28"/>
          <w:szCs w:val="28"/>
        </w:rPr>
        <w:t xml:space="preserve">.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0804 «Другие вопросы в области культуры, кинематографии»</w:t>
      </w:r>
      <w:r>
        <w:rPr>
          <w:sz w:val="28"/>
          <w:szCs w:val="28"/>
        </w:rPr>
        <w:t xml:space="preserve"> расходы произведены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сумм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1 033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 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9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 процента</w:t>
      </w:r>
      <w:r>
        <w:rPr>
          <w:sz w:val="28"/>
          <w:szCs w:val="28"/>
        </w:rPr>
        <w:t xml:space="preserve"> от годовых назначений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Здравоохранение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консолидированного бюджета на з</w:t>
      </w:r>
      <w:r>
        <w:rPr>
          <w:sz w:val="28"/>
          <w:szCs w:val="28"/>
        </w:rPr>
        <w:t xml:space="preserve">дравоохранение </w:t>
      </w:r>
      <w:r>
        <w:rPr>
          <w:sz w:val="28"/>
          <w:szCs w:val="28"/>
        </w:rPr>
        <w:t xml:space="preserve">произведены </w:t>
      </w:r>
      <w:r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3 211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процента </w:t>
      </w:r>
      <w:r>
        <w:rPr>
          <w:sz w:val="28"/>
          <w:szCs w:val="28"/>
        </w:rPr>
        <w:t xml:space="preserve">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плановы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назначени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0901 «Стационарная медицинская помощь» </w:t>
      </w:r>
      <w:r>
        <w:rPr>
          <w:sz w:val="28"/>
          <w:szCs w:val="28"/>
        </w:rPr>
        <w:t xml:space="preserve">расходы профинансированы в сумме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353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годовых назначений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0902 «Амбулаторная помощь» </w:t>
      </w:r>
      <w:r>
        <w:rPr>
          <w:sz w:val="28"/>
          <w:szCs w:val="28"/>
        </w:rPr>
        <w:t xml:space="preserve">расходы профинансированы в сумме </w:t>
      </w:r>
      <w:r>
        <w:rPr>
          <w:sz w:val="28"/>
          <w:szCs w:val="28"/>
        </w:rPr>
        <w:t xml:space="preserve">1 </w:t>
      </w:r>
      <w:r>
        <w:rPr>
          <w:sz w:val="28"/>
          <w:szCs w:val="28"/>
        </w:rPr>
        <w:t xml:space="preserve">669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99,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годовых назначений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0903 «Медицинская помощь в дневных стационарах всех типов»</w:t>
      </w:r>
      <w:r>
        <w:rPr>
          <w:sz w:val="28"/>
          <w:szCs w:val="28"/>
        </w:rPr>
        <w:t xml:space="preserve"> расходы профинансированы в сумме </w:t>
      </w:r>
      <w:r>
        <w:rPr>
          <w:sz w:val="28"/>
          <w:szCs w:val="28"/>
        </w:rPr>
        <w:t xml:space="preserve">107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годовых назначений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0904 «Скорая медицинская помощь»</w:t>
      </w:r>
      <w:r>
        <w:rPr>
          <w:sz w:val="28"/>
          <w:szCs w:val="28"/>
        </w:rPr>
        <w:t xml:space="preserve"> расходы профинансированы в сумме </w:t>
      </w:r>
      <w:r>
        <w:rPr>
          <w:sz w:val="28"/>
          <w:szCs w:val="28"/>
        </w:rPr>
        <w:t xml:space="preserve">309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годовых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0905 «Санаторно-оздоровительная помощь»</w:t>
      </w:r>
      <w:r>
        <w:rPr>
          <w:sz w:val="28"/>
          <w:szCs w:val="28"/>
        </w:rPr>
        <w:t xml:space="preserve"> расходы профинансированы в сумме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15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годовых назначений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0906 «Заготовка, переработка, хранение и обеспечение безопасности донорской крови и ее компонентов»</w:t>
      </w:r>
      <w:r>
        <w:rPr>
          <w:sz w:val="28"/>
          <w:szCs w:val="28"/>
        </w:rPr>
        <w:t xml:space="preserve"> расходы профинансированы в сумме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38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годовых назначений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ind w:firstLine="567"/>
        <w:jc w:val="both"/>
        <w:rPr>
          <w:b w:val="0"/>
        </w:rPr>
      </w:pPr>
      <w:r>
        <w:rPr>
          <w:b w:val="0"/>
          <w:i/>
        </w:rPr>
        <w:t xml:space="preserve">По подразделу 0907 «Санитарно-эпидемиологическое благополучие»</w:t>
      </w:r>
      <w:r>
        <w:rPr>
          <w:b w:val="0"/>
        </w:rPr>
        <w:t xml:space="preserve"> расходы профинансированы в сумме </w:t>
      </w:r>
      <w:r>
        <w:rPr>
          <w:b w:val="0"/>
        </w:rPr>
        <w:t xml:space="preserve">0</w:t>
      </w:r>
      <w:r>
        <w:rPr>
          <w:b w:val="0"/>
        </w:rPr>
        <w:t xml:space="preserve">,</w:t>
      </w:r>
      <w:r>
        <w:rPr>
          <w:b w:val="0"/>
        </w:rPr>
        <w:t xml:space="preserve">6</w:t>
      </w:r>
      <w:r>
        <w:rPr>
          <w:b w:val="0"/>
        </w:rPr>
        <w:t xml:space="preserve"> млн. рублей</w:t>
      </w:r>
      <w:r>
        <w:rPr>
          <w:b w:val="0"/>
        </w:rPr>
        <w:t xml:space="preserve">,</w:t>
      </w:r>
      <w:r>
        <w:rPr>
          <w:b w:val="0"/>
        </w:rPr>
        <w:t xml:space="preserve"> или на </w:t>
      </w:r>
      <w:r>
        <w:rPr>
          <w:b w:val="0"/>
        </w:rPr>
        <w:t xml:space="preserve">9</w:t>
      </w:r>
      <w:r>
        <w:rPr>
          <w:b w:val="0"/>
        </w:rPr>
        <w:t xml:space="preserve">8</w:t>
      </w:r>
      <w:r>
        <w:rPr>
          <w:b w:val="0"/>
        </w:rPr>
        <w:t xml:space="preserve">,</w:t>
      </w:r>
      <w:r>
        <w:rPr>
          <w:b w:val="0"/>
        </w:rPr>
        <w:t xml:space="preserve">5</w:t>
      </w:r>
      <w:r>
        <w:rPr>
          <w:b w:val="0"/>
        </w:rPr>
        <w:t xml:space="preserve"> процента</w:t>
      </w:r>
      <w:r>
        <w:rPr>
          <w:b w:val="0"/>
        </w:rPr>
        <w:t xml:space="preserve"> от </w:t>
      </w:r>
      <w:r>
        <w:rPr>
          <w:b w:val="0"/>
        </w:rPr>
        <w:t xml:space="preserve">годовых назначений</w:t>
      </w:r>
      <w:r>
        <w:rPr>
          <w:b w:val="0"/>
        </w:rPr>
        <w:t xml:space="preserve">.</w:t>
      </w:r>
      <w:r>
        <w:rPr>
          <w:b w:val="0"/>
        </w:rPr>
        <w:t xml:space="preserve"> </w:t>
      </w:r>
      <w:r>
        <w:rPr>
          <w:b w:val="0"/>
        </w:rPr>
      </w:r>
      <w:r>
        <w:rPr>
          <w:b w:val="0"/>
        </w:rPr>
      </w:r>
    </w:p>
    <w:p>
      <w:pPr>
        <w:ind w:firstLine="567"/>
        <w:jc w:val="both"/>
      </w:pPr>
      <w:r>
        <w:rPr>
          <w:i/>
          <w:sz w:val="28"/>
          <w:szCs w:val="28"/>
        </w:rPr>
        <w:t xml:space="preserve">По подразделу 0909 «Другие вопросы в области здравоохранения»</w:t>
      </w:r>
      <w:r>
        <w:rPr>
          <w:sz w:val="28"/>
          <w:szCs w:val="28"/>
        </w:rPr>
        <w:t xml:space="preserve"> расходы профинансированы в сумме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317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процента</w:t>
      </w:r>
      <w:r>
        <w:rPr>
          <w:sz w:val="28"/>
          <w:szCs w:val="28"/>
        </w:rPr>
        <w:t xml:space="preserve"> от плана</w:t>
      </w:r>
      <w:r>
        <w:rPr>
          <w:sz w:val="28"/>
          <w:szCs w:val="28"/>
        </w:rPr>
        <w:t xml:space="preserve">. </w:t>
      </w:r>
      <w:r/>
    </w:p>
    <w:p>
      <w:pPr>
        <w:ind w:firstLine="708"/>
        <w:jc w:val="both"/>
      </w:pPr>
      <w:r/>
      <w:r/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Социальная политика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  <w:highlight w:val="lightGray"/>
        </w:rPr>
      </w:pPr>
      <w:r>
        <w:rPr>
          <w:b/>
          <w:sz w:val="28"/>
          <w:szCs w:val="28"/>
          <w:highlight w:val="lightGray"/>
        </w:rPr>
      </w:r>
      <w:r>
        <w:rPr>
          <w:b/>
          <w:sz w:val="28"/>
          <w:szCs w:val="28"/>
          <w:highlight w:val="lightGray"/>
        </w:rPr>
      </w:r>
      <w:r>
        <w:rPr>
          <w:b/>
          <w:sz w:val="28"/>
          <w:szCs w:val="28"/>
          <w:highlight w:val="lightGray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консолидированного бюджета </w:t>
      </w:r>
      <w:r>
        <w:rPr>
          <w:sz w:val="28"/>
          <w:szCs w:val="28"/>
        </w:rPr>
        <w:t xml:space="preserve">на с</w:t>
      </w:r>
      <w:r>
        <w:rPr>
          <w:sz w:val="28"/>
          <w:szCs w:val="28"/>
        </w:rPr>
        <w:t xml:space="preserve">оциальн</w:t>
      </w:r>
      <w:r>
        <w:rPr>
          <w:sz w:val="28"/>
          <w:szCs w:val="28"/>
        </w:rPr>
        <w:t xml:space="preserve">ую</w:t>
      </w:r>
      <w:r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произведены</w:t>
      </w:r>
      <w:r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 xml:space="preserve">59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953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плановы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назначени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1001 «Пенсионное обеспечение»</w:t>
      </w:r>
      <w:r>
        <w:rPr>
          <w:sz w:val="28"/>
          <w:szCs w:val="28"/>
        </w:rPr>
        <w:t xml:space="preserve"> расходы произведены на сумму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33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на 9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процента от плановых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1002 «Социальное обслуживание</w:t>
      </w:r>
      <w:r>
        <w:rPr>
          <w:i/>
          <w:sz w:val="28"/>
          <w:szCs w:val="28"/>
        </w:rPr>
        <w:t xml:space="preserve"> населения</w:t>
      </w:r>
      <w:r>
        <w:rPr>
          <w:i/>
          <w:sz w:val="28"/>
          <w:szCs w:val="28"/>
        </w:rPr>
        <w:t xml:space="preserve">»</w:t>
      </w:r>
      <w:r>
        <w:rPr>
          <w:sz w:val="28"/>
          <w:szCs w:val="28"/>
        </w:rPr>
        <w:t xml:space="preserve"> расходы профинансированы в сумме </w:t>
      </w:r>
      <w:r>
        <w:rPr>
          <w:sz w:val="28"/>
          <w:szCs w:val="28"/>
        </w:rPr>
        <w:t xml:space="preserve">3 </w:t>
      </w:r>
      <w:r>
        <w:rPr>
          <w:sz w:val="28"/>
          <w:szCs w:val="28"/>
        </w:rPr>
        <w:t xml:space="preserve">920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млн. рублей, что составляет </w:t>
      </w:r>
      <w:r>
        <w:rPr>
          <w:sz w:val="28"/>
          <w:szCs w:val="28"/>
        </w:rPr>
        <w:t xml:space="preserve">100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процента от годовых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1003 «Социальное обеспечение населения» </w:t>
      </w:r>
      <w:r>
        <w:rPr>
          <w:sz w:val="28"/>
          <w:szCs w:val="28"/>
        </w:rPr>
        <w:t xml:space="preserve">расходы профинансированы в сумме </w:t>
      </w:r>
      <w:r>
        <w:rPr>
          <w:sz w:val="28"/>
          <w:szCs w:val="28"/>
        </w:rPr>
        <w:t xml:space="preserve">47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068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рублей, что составляет 9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процента к </w:t>
      </w:r>
      <w:r>
        <w:rPr>
          <w:sz w:val="28"/>
          <w:szCs w:val="28"/>
        </w:rPr>
        <w:t xml:space="preserve">годовым назначениям.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По подразделу 1004 «Охрана семьи и детства»</w:t>
      </w:r>
      <w:r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 xml:space="preserve">профинансированы в сумме 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534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процента от годовых назначений.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асходы консолидированного бюджета области на предоставление детям-сиротам и лицам из их числа жилых помещений по договорам найма </w:t>
      </w:r>
      <w:r>
        <w:rPr>
          <w:sz w:val="28"/>
          <w:szCs w:val="28"/>
        </w:rPr>
        <w:t xml:space="preserve">специализированных жилых помещений, а также предоставление свидетельств и сертификат</w:t>
      </w:r>
      <w:r>
        <w:rPr>
          <w:sz w:val="28"/>
          <w:szCs w:val="28"/>
        </w:rPr>
        <w:t xml:space="preserve">ов Оренбургской области детям-сиротам на приобретение жилых помещений исполнены на сумму 1 253,6 млн. рублей или 99,5 процента от годовых назначений. Финансирование осуществлялось на основании документов, подтверждающих возникновение денежных обязательств.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1006 «Другие вопросы в области социальной политики»</w:t>
      </w:r>
      <w:r>
        <w:rPr>
          <w:sz w:val="28"/>
          <w:szCs w:val="28"/>
        </w:rPr>
        <w:t xml:space="preserve"> расходы произведены на сумму </w:t>
      </w:r>
      <w:r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096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млн. рублей, что составило 9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</w:t>
      </w:r>
      <w:r>
        <w:rPr>
          <w:sz w:val="28"/>
          <w:szCs w:val="28"/>
        </w:rPr>
        <w:t xml:space="preserve"> плановы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назначени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</w:p>
    <w:p>
      <w:pPr>
        <w:pStyle w:val="888"/>
        <w:ind w:right="-81" w:firstLine="709"/>
        <w:jc w:val="center"/>
        <w:rPr>
          <w:b/>
          <w:szCs w:val="28"/>
        </w:rPr>
      </w:pPr>
      <w:r>
        <w:rPr>
          <w:b/>
          <w:szCs w:val="28"/>
        </w:rPr>
        <w:t xml:space="preserve">Физическая культура и спорт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88"/>
        <w:ind w:right="-81" w:firstLine="709"/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консолидированного бюджета на ф</w:t>
      </w:r>
      <w:r>
        <w:rPr>
          <w:sz w:val="28"/>
          <w:szCs w:val="28"/>
        </w:rPr>
        <w:t xml:space="preserve">изическ</w:t>
      </w:r>
      <w:r>
        <w:rPr>
          <w:sz w:val="28"/>
          <w:szCs w:val="28"/>
        </w:rPr>
        <w:t xml:space="preserve">ую</w:t>
      </w:r>
      <w:r>
        <w:rPr>
          <w:sz w:val="28"/>
          <w:szCs w:val="28"/>
        </w:rPr>
        <w:t xml:space="preserve"> культур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 и спорт </w:t>
      </w:r>
      <w:r>
        <w:rPr>
          <w:sz w:val="28"/>
          <w:szCs w:val="28"/>
        </w:rPr>
        <w:t xml:space="preserve">произведены на сумму 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374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процента от </w:t>
      </w:r>
      <w:r>
        <w:rPr>
          <w:sz w:val="28"/>
          <w:szCs w:val="28"/>
        </w:rPr>
        <w:t xml:space="preserve">плановых</w:t>
      </w:r>
      <w:r>
        <w:rPr>
          <w:sz w:val="28"/>
          <w:szCs w:val="28"/>
        </w:rPr>
        <w:t xml:space="preserve"> назначений.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1101 «Физическая культура»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произведены на сумму </w:t>
      </w:r>
      <w:r>
        <w:rPr>
          <w:sz w:val="28"/>
          <w:szCs w:val="28"/>
        </w:rPr>
        <w:t xml:space="preserve">1 092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процента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плановых назначений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подразделам 1102 «Массовый спорт»</w:t>
      </w:r>
      <w:r>
        <w:rPr>
          <w:sz w:val="28"/>
          <w:szCs w:val="28"/>
        </w:rPr>
        <w:t xml:space="preserve"> расходы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произведены на сумму </w:t>
      </w:r>
      <w:r>
        <w:rPr>
          <w:sz w:val="28"/>
          <w:szCs w:val="28"/>
        </w:rPr>
        <w:t xml:space="preserve">589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млн. рублей, или на </w:t>
      </w:r>
      <w:r>
        <w:rPr>
          <w:sz w:val="28"/>
          <w:szCs w:val="28"/>
        </w:rPr>
        <w:t xml:space="preserve">95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процента от плановых назначений.</w:t>
      </w:r>
      <w:r>
        <w:t xml:space="preserve"> </w:t>
      </w:r>
      <w:r>
        <w:rPr>
          <w:sz w:val="28"/>
          <w:szCs w:val="28"/>
        </w:rPr>
        <w:t xml:space="preserve">Финансирование осуществлялось на основании актов выполненных работ.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По подразделу 1103 «Спорт высших достижений»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произведены на сумму </w:t>
      </w:r>
      <w:r>
        <w:rPr>
          <w:sz w:val="28"/>
          <w:szCs w:val="28"/>
        </w:rPr>
        <w:t xml:space="preserve">2 </w:t>
      </w:r>
      <w:r>
        <w:rPr>
          <w:sz w:val="28"/>
          <w:szCs w:val="28"/>
        </w:rPr>
        <w:t xml:space="preserve">525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млн. рублей, или на 9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процента от плановых назначений.</w:t>
      </w:r>
      <w:r>
        <w:rPr>
          <w:sz w:val="28"/>
          <w:szCs w:val="28"/>
          <w:highlight w:val="lightGray"/>
        </w:rPr>
        <w:t xml:space="preserve"> </w:t>
      </w: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1105 «Другие вопросы в области физической культуры и спорта» расходы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произведены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 сумм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процента от плановых назначений.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highlight w:val="lightGray"/>
        </w:rPr>
      </w:pPr>
      <w:r>
        <w:rPr>
          <w:highlight w:val="lightGray"/>
        </w:rPr>
      </w:r>
      <w:r>
        <w:rPr>
          <w:highlight w:val="lightGray"/>
        </w:rPr>
      </w:r>
      <w:r>
        <w:rPr>
          <w:highlight w:val="lightGray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Средства массовой информации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консолидированного бюджета на с</w:t>
      </w:r>
      <w:r>
        <w:rPr>
          <w:sz w:val="28"/>
          <w:szCs w:val="28"/>
        </w:rPr>
        <w:t xml:space="preserve">редства массовой информации </w:t>
      </w:r>
      <w:r>
        <w:rPr>
          <w:sz w:val="28"/>
          <w:szCs w:val="28"/>
        </w:rPr>
        <w:t xml:space="preserve">произведены</w:t>
      </w:r>
      <w:r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43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процента от </w:t>
      </w:r>
      <w:r>
        <w:rPr>
          <w:sz w:val="28"/>
          <w:szCs w:val="28"/>
        </w:rPr>
        <w:t xml:space="preserve">плановых</w:t>
      </w:r>
      <w:r>
        <w:rPr>
          <w:sz w:val="28"/>
          <w:szCs w:val="28"/>
        </w:rPr>
        <w:t xml:space="preserve"> назначений</w:t>
      </w:r>
      <w:r>
        <w:rPr>
          <w:color w:val="000000"/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1201 «Телевидение и радиовещание» </w:t>
      </w:r>
      <w:r>
        <w:rPr>
          <w:sz w:val="28"/>
          <w:szCs w:val="28"/>
        </w:rPr>
        <w:t xml:space="preserve">расходы профинансированы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 сумм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9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процента от плановых назначений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ind w:firstLine="567"/>
        <w:jc w:val="both"/>
        <w:rPr>
          <w:b w:val="0"/>
          <w:color w:val="000000"/>
        </w:rPr>
      </w:pPr>
      <w:r>
        <w:rPr>
          <w:b w:val="0"/>
          <w:i/>
        </w:rPr>
        <w:t xml:space="preserve"> </w:t>
      </w:r>
      <w:r>
        <w:rPr>
          <w:b w:val="0"/>
          <w:i/>
        </w:rPr>
        <w:t xml:space="preserve">По подразделу 1202 «Периодическая печать и издательства» </w:t>
      </w:r>
      <w:r>
        <w:rPr>
          <w:b w:val="0"/>
        </w:rPr>
        <w:t xml:space="preserve">расходы профинансированы в сумме </w:t>
      </w:r>
      <w:r>
        <w:rPr>
          <w:b w:val="0"/>
        </w:rPr>
        <w:t xml:space="preserve">1</w:t>
      </w:r>
      <w:r>
        <w:rPr>
          <w:b w:val="0"/>
        </w:rPr>
        <w:t xml:space="preserve">8</w:t>
      </w:r>
      <w:r>
        <w:rPr>
          <w:b w:val="0"/>
        </w:rPr>
        <w:t xml:space="preserve">,</w:t>
      </w:r>
      <w:r>
        <w:rPr>
          <w:b w:val="0"/>
        </w:rPr>
        <w:t xml:space="preserve">5</w:t>
      </w:r>
      <w:r>
        <w:rPr>
          <w:b w:val="0"/>
        </w:rPr>
        <w:t xml:space="preserve"> млн. рублей</w:t>
      </w:r>
      <w:r>
        <w:rPr>
          <w:b w:val="0"/>
        </w:rPr>
        <w:t xml:space="preserve">,</w:t>
      </w:r>
      <w:r>
        <w:rPr>
          <w:b w:val="0"/>
        </w:rPr>
        <w:t xml:space="preserve"> или на 9</w:t>
      </w:r>
      <w:r>
        <w:rPr>
          <w:b w:val="0"/>
        </w:rPr>
        <w:t xml:space="preserve">8</w:t>
      </w:r>
      <w:r>
        <w:rPr>
          <w:b w:val="0"/>
        </w:rPr>
        <w:t xml:space="preserve">,</w:t>
      </w:r>
      <w:r>
        <w:rPr>
          <w:b w:val="0"/>
        </w:rPr>
        <w:t xml:space="preserve">4</w:t>
      </w:r>
      <w:r>
        <w:rPr>
          <w:b w:val="0"/>
        </w:rPr>
        <w:t xml:space="preserve"> процента от годовых назначений</w:t>
      </w:r>
      <w:r>
        <w:rPr>
          <w:b w:val="0"/>
          <w:color w:val="000000"/>
        </w:rPr>
        <w:t xml:space="preserve">.  </w:t>
      </w:r>
      <w:r>
        <w:rPr>
          <w:b w:val="0"/>
          <w:color w:val="000000"/>
        </w:rPr>
      </w:r>
      <w:r>
        <w:rPr>
          <w:b w:val="0"/>
          <w:color w:val="000000"/>
        </w:rPr>
      </w:r>
    </w:p>
    <w:p>
      <w:pPr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1204 «Другие вопросы в области средств массовой информации» </w:t>
      </w:r>
      <w:r>
        <w:rPr>
          <w:sz w:val="28"/>
          <w:szCs w:val="28"/>
        </w:rPr>
        <w:t xml:space="preserve">расходы профинансированы</w:t>
      </w:r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сумм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или на </w:t>
      </w:r>
      <w:r>
        <w:rPr>
          <w:sz w:val="28"/>
          <w:szCs w:val="28"/>
        </w:rPr>
        <w:t xml:space="preserve">94</w:t>
      </w:r>
      <w:r>
        <w:rPr>
          <w:sz w:val="28"/>
          <w:szCs w:val="28"/>
        </w:rPr>
        <w:t xml:space="preserve">,0</w:t>
      </w:r>
      <w:r>
        <w:rPr>
          <w:sz w:val="28"/>
          <w:szCs w:val="28"/>
        </w:rPr>
        <w:t xml:space="preserve"> процента от плановых назначений. </w:t>
      </w:r>
      <w:r>
        <w:rPr>
          <w:sz w:val="28"/>
          <w:szCs w:val="28"/>
        </w:rPr>
        <w:t xml:space="preserve">Финансирование осуществлялось на основании актов выполненных работ.</w:t>
      </w:r>
      <w: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Обслуживание государственного (муниципального) долга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b/>
          <w:bCs/>
          <w:sz w:val="28"/>
        </w:rPr>
      </w:pPr>
      <w:r>
        <w:rPr>
          <w:sz w:val="28"/>
          <w:szCs w:val="28"/>
        </w:rPr>
        <w:t xml:space="preserve">Расходы консолидированного бюджета на обслуживание государственного (муниципального) долга произведены в сумме </w:t>
      </w:r>
      <w:r>
        <w:rPr>
          <w:sz w:val="28"/>
          <w:szCs w:val="28"/>
        </w:rPr>
        <w:t xml:space="preserve">323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млн. рублей, или на </w:t>
      </w:r>
      <w:r>
        <w:rPr>
          <w:sz w:val="28"/>
          <w:szCs w:val="28"/>
        </w:rPr>
        <w:t xml:space="preserve">49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процента от плановых назначений</w:t>
      </w:r>
      <w:r>
        <w:rPr>
          <w:color w:val="000000"/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1301 «Обслуживание государственного (муниципального) внутреннего долга» </w:t>
      </w:r>
      <w:r>
        <w:rPr>
          <w:sz w:val="28"/>
          <w:szCs w:val="28"/>
        </w:rPr>
        <w:t xml:space="preserve">расходы профинансированы на сумму </w:t>
      </w:r>
      <w:r>
        <w:rPr>
          <w:sz w:val="28"/>
          <w:szCs w:val="28"/>
        </w:rPr>
        <w:t xml:space="preserve">294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млн. рублей, или на </w:t>
      </w:r>
      <w:r>
        <w:rPr>
          <w:sz w:val="28"/>
          <w:szCs w:val="28"/>
        </w:rPr>
        <w:t xml:space="preserve">47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процента от плановых </w:t>
      </w:r>
      <w:r>
        <w:rPr>
          <w:sz w:val="28"/>
          <w:szCs w:val="28"/>
        </w:rPr>
        <w:t xml:space="preserve">назначений. Уплата процентов производится в соответствии с утвержденными графиками исполнения долговых обязательств, заключенными соглашениями и государственными (муниципальными) контрактами.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По подразделу 1302 «Обслуживание государственного (муниципального) внешнего долга» </w:t>
      </w:r>
      <w:r>
        <w:rPr>
          <w:sz w:val="28"/>
          <w:szCs w:val="28"/>
        </w:rPr>
        <w:t xml:space="preserve">расходы профинансированы на сумму </w:t>
      </w:r>
      <w:r>
        <w:rPr>
          <w:sz w:val="28"/>
          <w:szCs w:val="28"/>
        </w:rPr>
        <w:t xml:space="preserve">28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рублей или на 100 процентов от плановых назначений.  Уплата процентов производится в соответствии с действующими соглашениями.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</w:p>
    <w:p>
      <w:pPr>
        <w:ind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Результат исполнения бюджета </w:t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ind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Консолидированный бюджет области исполнен с </w:t>
      </w:r>
      <w:r>
        <w:rPr>
          <w:bCs/>
          <w:sz w:val="28"/>
        </w:rPr>
        <w:t xml:space="preserve">де</w:t>
      </w:r>
      <w:r>
        <w:rPr>
          <w:bCs/>
          <w:sz w:val="28"/>
        </w:rPr>
        <w:t xml:space="preserve">фицитом </w:t>
      </w:r>
      <w:r>
        <w:rPr>
          <w:bCs/>
          <w:sz w:val="28"/>
        </w:rPr>
        <w:t xml:space="preserve">в сумме</w:t>
      </w:r>
      <w:r>
        <w:rPr>
          <w:bCs/>
          <w:sz w:val="28"/>
        </w:rPr>
        <w:t xml:space="preserve">   </w:t>
      </w:r>
      <w:r>
        <w:rPr>
          <w:bCs/>
          <w:sz w:val="28"/>
        </w:rPr>
        <w:t xml:space="preserve"> </w:t>
      </w:r>
      <w:r>
        <w:rPr>
          <w:bCs/>
          <w:sz w:val="28"/>
        </w:rPr>
        <w:t xml:space="preserve">28</w:t>
      </w:r>
      <w:r>
        <w:rPr>
          <w:bCs/>
          <w:sz w:val="28"/>
        </w:rPr>
        <w:t xml:space="preserve"> </w:t>
      </w:r>
      <w:r>
        <w:rPr>
          <w:bCs/>
          <w:sz w:val="28"/>
        </w:rPr>
        <w:t xml:space="preserve">860</w:t>
      </w:r>
      <w:r>
        <w:rPr>
          <w:bCs/>
          <w:sz w:val="28"/>
        </w:rPr>
        <w:t xml:space="preserve">,</w:t>
      </w:r>
      <w:r>
        <w:rPr>
          <w:bCs/>
          <w:sz w:val="28"/>
        </w:rPr>
        <w:t xml:space="preserve">8</w:t>
      </w:r>
      <w:r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.</w:t>
      </w:r>
      <w:r>
        <w:rPr>
          <w:bCs/>
          <w:sz w:val="28"/>
        </w:rPr>
      </w:r>
      <w:r>
        <w:rPr>
          <w:bCs/>
          <w:sz w:val="28"/>
        </w:rPr>
      </w:r>
    </w:p>
    <w:p>
      <w:pPr>
        <w:ind w:firstLine="709"/>
        <w:jc w:val="center"/>
        <w:rPr>
          <w:b/>
          <w:bCs/>
          <w:sz w:val="28"/>
          <w:highlight w:val="lightGray"/>
        </w:rPr>
      </w:pPr>
      <w:r>
        <w:rPr>
          <w:b/>
          <w:bCs/>
          <w:sz w:val="28"/>
          <w:highlight w:val="lightGray"/>
        </w:rPr>
      </w:r>
      <w:r>
        <w:rPr>
          <w:b/>
          <w:bCs/>
          <w:sz w:val="28"/>
          <w:highlight w:val="lightGray"/>
        </w:rPr>
      </w:r>
      <w:r>
        <w:rPr>
          <w:b/>
          <w:bCs/>
          <w:sz w:val="28"/>
          <w:highlight w:val="lightGray"/>
        </w:rPr>
      </w:r>
    </w:p>
    <w:p>
      <w:pPr>
        <w:ind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Долговые обязательства</w:t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ind w:firstLine="709"/>
        <w:jc w:val="center"/>
        <w:rPr>
          <w:b/>
          <w:bCs/>
          <w:sz w:val="28"/>
          <w:highlight w:val="lightGray"/>
        </w:rPr>
      </w:pPr>
      <w:r>
        <w:rPr>
          <w:b/>
          <w:bCs/>
          <w:sz w:val="28"/>
          <w:highlight w:val="lightGray"/>
        </w:rPr>
      </w:r>
      <w:r>
        <w:rPr>
          <w:b/>
          <w:bCs/>
          <w:sz w:val="28"/>
          <w:highlight w:val="lightGray"/>
        </w:rPr>
      </w:r>
      <w:r>
        <w:rPr>
          <w:b/>
          <w:bCs/>
          <w:sz w:val="28"/>
          <w:highlight w:val="lightGray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долг Оренбургской области по сравнению с 01.01.2025 увеличился на 9 956,5 млн. рублей и по состоянию на 01.01.2026 составил              29 651,2 млн. рублей.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долга по бюджетным кредитам, привлеченным от других бюджетов бюджетной системы Российской Федерации, на долю которых в структуре долга приходится 54,5 процента, по состоянию на 01.01.2026 составляет              16 161,9 млн. рублей.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долга по кредитам, привлеченным от кредитных организаций, на долю которых в структуре долга приходится 43,8 процента и составляет              13 000,0 млн. рублей.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долговых обязательств по государственным ценным бумагам области составляет 489,3 млн. рублей или 1,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процента от общей суммы долга.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2025 года государственные гарантии Оренбургской области не предоставлялись.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Просроченная задолженность по долговым обязательствам отсутствует.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обслуживанию государственного долга Оренбургской области за 2025 год составили 323,7 млн. рублей или 50,0 процентов к годовым бюджетным назначениям.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муниципального долга по сравнению с 01.01.2025 года уменьшился на 226,3 млн. рублей и по состоянию на 01.01.2026 года составил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490,9 млн. рублей.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долг на 84,2 процента состоит из бюджетных кредитов и на 15,8 процентов из кредитов, полученных от кредитных организаций.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2025 года муниципальные гарантии не предоставлялись.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Просроченная задолженность по долговым обязательствам муниципальных образований по состоянию на 01.01.2026 отсутствует.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  <w:r>
        <w:rPr>
          <w:sz w:val="28"/>
          <w:szCs w:val="28"/>
          <w:highlight w:val="lightGray"/>
        </w:rPr>
      </w:r>
    </w:p>
    <w:p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Раздел 4 «Анализ показателей бухгалтерской отчетности </w:t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субъекта бюджетной отчетности»</w:t>
      </w:r>
      <w:r>
        <w:rPr>
          <w:b/>
          <w:bCs/>
          <w:color w:val="000000"/>
          <w:sz w:val="28"/>
          <w:szCs w:val="28"/>
          <w:highlight w:val="white"/>
        </w:rPr>
      </w:r>
      <w:r>
        <w:rPr>
          <w:b/>
          <w:bCs/>
          <w:color w:val="000000"/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rFonts w:eastAsiaTheme="minorHAnsi"/>
          <w:i/>
          <w:iCs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  <w:t xml:space="preserve">Отчет ф. 0503317 «</w:t>
      </w:r>
      <w:r>
        <w:rPr>
          <w:rFonts w:eastAsiaTheme="minorHAnsi"/>
          <w:i/>
          <w:iCs/>
          <w:sz w:val="28"/>
          <w:szCs w:val="28"/>
          <w:highlight w:val="white"/>
          <w:lang w:eastAsia="en-US"/>
        </w:rPr>
        <w:t xml:space="preserve">Отчет об исполнении консолидированного бюджета субъекта Российской Федерации и бюджета территориального государственного внебюджетного фонда</w:t>
      </w:r>
      <w:hyperlink r:id="rId11" w:tooltip="consultantplus://offline/ref=FF182FECE2A93C2DA1EDE0E9045F9D0E02997BA9B7274E8BC6D37CD37A32ADD7A79E836EBD5F65FFDAEFD9181835F38A02EA34665F5B4AEAm7E7M" w:history="1">
        <w:r>
          <w:rPr>
            <w:rFonts w:eastAsiaTheme="minorHAnsi"/>
            <w:i/>
            <w:iCs/>
            <w:sz w:val="28"/>
            <w:szCs w:val="28"/>
            <w:highlight w:val="white"/>
            <w:lang w:eastAsia="en-US"/>
          </w:rPr>
          <w:t xml:space="preserve">»</w:t>
        </w:r>
      </w:hyperlink>
      <w:r>
        <w:rPr>
          <w:rFonts w:eastAsiaTheme="minorHAnsi"/>
          <w:i/>
          <w:iCs/>
          <w:sz w:val="28"/>
          <w:szCs w:val="28"/>
          <w:highlight w:val="white"/>
        </w:rPr>
      </w:r>
      <w:r>
        <w:rPr>
          <w:rFonts w:eastAsiaTheme="minorHAnsi"/>
          <w:i/>
          <w:iCs/>
          <w:sz w:val="28"/>
          <w:szCs w:val="28"/>
          <w:highlight w:val="white"/>
        </w:rPr>
      </w:r>
    </w:p>
    <w:p>
      <w:pPr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white"/>
        </w:rPr>
        <w:t xml:space="preserve">Раздел «Источники»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35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825"/>
        <w:gridCol w:w="727"/>
        <w:gridCol w:w="1701"/>
        <w:gridCol w:w="1824"/>
        <w:gridCol w:w="1641"/>
        <w:gridCol w:w="1638"/>
      </w:tblGrid>
      <w:tr>
        <w:tblPrEx/>
        <w:trPr>
          <w:trHeight w:val="450"/>
        </w:trPr>
        <w:tc>
          <w:tcPr>
            <w:shd w:val="clear" w:color="auto" w:fill="auto"/>
            <w:tcBorders>
              <w:bottom w:val="single" w:color="auto" w:sz="4" w:space="0"/>
            </w:tcBorders>
            <w:tcW w:w="1825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Классификация ИФДБ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Гра</w:t>
            </w:r>
            <w:r>
              <w:rPr>
                <w:b/>
                <w:sz w:val="22"/>
                <w:szCs w:val="22"/>
                <w:highlight w:val="white"/>
              </w:rPr>
              <w:t xml:space="preserve">-фа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ф. 0503317</w:t>
            </w:r>
            <w:r>
              <w:rPr>
                <w:rFonts w:ascii="Arial" w:hAnsi="Arial" w:cs="Arial"/>
                <w:sz w:val="16"/>
                <w:szCs w:val="16"/>
                <w:highlight w:val="white"/>
              </w:rPr>
            </w:r>
            <w:r>
              <w:rPr>
                <w:rFonts w:ascii="Arial" w:hAnsi="Arial" w:cs="Arial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82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ф. 0503152</w:t>
            </w:r>
            <w:r>
              <w:rPr>
                <w:rFonts w:ascii="Arial" w:hAnsi="Arial" w:cs="Arial"/>
                <w:sz w:val="16"/>
                <w:szCs w:val="16"/>
                <w:highlight w:val="white"/>
              </w:rPr>
            </w:r>
            <w:r>
              <w:rPr>
                <w:rFonts w:ascii="Arial" w:hAnsi="Arial" w:cs="Arial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641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Отклонение</w:t>
            </w:r>
            <w:r>
              <w:rPr>
                <w:rFonts w:ascii="Arial" w:hAnsi="Arial" w:cs="Arial"/>
                <w:sz w:val="16"/>
                <w:szCs w:val="16"/>
                <w:highlight w:val="white"/>
              </w:rPr>
            </w:r>
            <w:r>
              <w:rPr>
                <w:rFonts w:ascii="Arial" w:hAnsi="Arial" w:cs="Arial"/>
                <w:sz w:val="16"/>
                <w:szCs w:val="16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63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Пояснение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450"/>
        </w:trPr>
        <w:tc>
          <w:tcPr>
            <w:shd w:val="clear" w:color="auto" w:fill="auto"/>
            <w:tcW w:w="1825" w:type="dxa"/>
            <w:textDirection w:val="lrTb"/>
            <w:noWrap w:val="false"/>
          </w:tcPr>
          <w:p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01050201090000510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auto" w:fill="auto"/>
            <w:tcW w:w="727" w:type="dxa"/>
            <w:textDirection w:val="lrTb"/>
            <w:noWrap w:val="false"/>
          </w:tcPr>
          <w:p>
            <w:pPr>
              <w:rPr>
                <w:color w:val="0000ff"/>
                <w:sz w:val="18"/>
                <w:szCs w:val="18"/>
                <w:highlight w:val="white"/>
                <w:u w:val="single"/>
              </w:rPr>
            </w:pPr>
            <w:r>
              <w:rPr>
                <w:highlight w:val="white"/>
              </w:rPr>
            </w:r>
            <w:hyperlink r:id="rId12" w:tooltip="https://report56.orb.ru/application/initreport?mid=3692182404&amp;ctrl=S3Row&amp;rid=3755784158&amp;fld=col26" w:history="1">
              <w:r>
                <w:rPr>
                  <w:color w:val="0000ff"/>
                  <w:sz w:val="18"/>
                  <w:szCs w:val="18"/>
                  <w:highlight w:val="white"/>
                  <w:u w:val="single"/>
                </w:rPr>
                <w:t xml:space="preserve">31</w:t>
              </w:r>
            </w:hyperlink>
            <w:r>
              <w:rPr>
                <w:color w:val="0000ff"/>
                <w:sz w:val="18"/>
                <w:szCs w:val="18"/>
                <w:highlight w:val="white"/>
                <w:u w:val="single"/>
              </w:rPr>
            </w:r>
            <w:r>
              <w:rPr>
                <w:color w:val="0000ff"/>
                <w:sz w:val="18"/>
                <w:szCs w:val="18"/>
                <w:highlight w:val="white"/>
                <w:u w:val="single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white"/>
                <w:u w:val="none"/>
              </w:rPr>
              <w:t xml:space="preserve">-46 601 157 618,45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shd w:val="clear" w:color="auto" w:fill="auto"/>
            <w:tcW w:w="182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white"/>
                <w:u w:val="none"/>
              </w:rPr>
              <w:t xml:space="preserve">-122 651 157 618,45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shd w:val="clear" w:color="auto" w:fill="auto"/>
            <w:tcW w:w="1641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white"/>
                <w:u w:val="none"/>
              </w:rPr>
              <w:t xml:space="preserve">76 050 000 000,00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W w:w="1638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spacing w:val="-5"/>
                <w:highlight w:val="white"/>
              </w:rPr>
              <w:t xml:space="preserve">Отражены обороты по привлечению остатка средств на единый счет областного бюджета со счета ТФОМС Оренбургской области и возврат привлеченных средств.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450"/>
        </w:trPr>
        <w:tc>
          <w:tcPr>
            <w:shd w:val="clear" w:color="auto" w:fill="auto"/>
            <w:tcBorders>
              <w:bottom w:val="single" w:color="auto" w:sz="4" w:space="0"/>
            </w:tcBorders>
            <w:tcW w:w="1825" w:type="dxa"/>
            <w:textDirection w:val="lrTb"/>
            <w:noWrap w:val="false"/>
          </w:tcPr>
          <w:p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01050201090000610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7" w:type="dxa"/>
            <w:textDirection w:val="lrTb"/>
            <w:noWrap w:val="false"/>
          </w:tcPr>
          <w:p>
            <w:pPr>
              <w:rPr>
                <w:color w:val="0000ff"/>
                <w:sz w:val="18"/>
                <w:szCs w:val="18"/>
                <w:highlight w:val="white"/>
                <w:u w:val="single"/>
              </w:rPr>
            </w:pPr>
            <w:r>
              <w:rPr>
                <w:highlight w:val="white"/>
              </w:rPr>
            </w:r>
            <w:hyperlink r:id="rId13" w:tooltip="https://report56.orb.ru/application/initreport?mid=3692182404&amp;ctrl=S3Row&amp;rid=3755784153&amp;fld=col26" w:history="1">
              <w:r>
                <w:rPr>
                  <w:color w:val="0000ff"/>
                  <w:sz w:val="18"/>
                  <w:szCs w:val="18"/>
                  <w:highlight w:val="white"/>
                  <w:u w:val="single"/>
                </w:rPr>
                <w:t xml:space="preserve">31</w:t>
              </w:r>
            </w:hyperlink>
            <w:r>
              <w:rPr>
                <w:color w:val="0000ff"/>
                <w:sz w:val="18"/>
                <w:szCs w:val="18"/>
                <w:highlight w:val="white"/>
                <w:u w:val="single"/>
              </w:rPr>
            </w:r>
            <w:r>
              <w:rPr>
                <w:color w:val="0000ff"/>
                <w:sz w:val="18"/>
                <w:szCs w:val="18"/>
                <w:highlight w:val="white"/>
                <w:u w:val="singl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white"/>
                <w:u w:val="none"/>
              </w:rPr>
              <w:t xml:space="preserve">46 610 383 677,97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82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white"/>
                <w:u w:val="none"/>
              </w:rPr>
              <w:t xml:space="preserve">122 660 383 677,97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641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white"/>
                <w:u w:val="none"/>
              </w:rPr>
              <w:t xml:space="preserve">76 050 000 000,00</w:t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638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contextualSpacing/>
        <w:jc w:val="both"/>
        <w:rPr>
          <w:i/>
          <w:sz w:val="27"/>
          <w:szCs w:val="27"/>
          <w:highlight w:val="white"/>
        </w:rPr>
      </w:pPr>
      <w:r>
        <w:rPr>
          <w:i/>
          <w:sz w:val="27"/>
          <w:szCs w:val="27"/>
          <w:highlight w:val="white"/>
        </w:rPr>
      </w:r>
      <w:r>
        <w:rPr>
          <w:i/>
          <w:sz w:val="27"/>
          <w:szCs w:val="27"/>
          <w:highlight w:val="white"/>
        </w:rPr>
      </w:r>
      <w:r>
        <w:rPr>
          <w:i/>
          <w:sz w:val="27"/>
          <w:szCs w:val="27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При осуществлении возврата в федеральный бюджет дебиторской задолженности прошлых, источником финансового об</w:t>
      </w:r>
      <w:r>
        <w:rPr>
          <w:sz w:val="28"/>
          <w:szCs w:val="28"/>
          <w:highlight w:val="white"/>
        </w:rPr>
        <w:t xml:space="preserve">еспечения которой являлись средства федерального бюджета, </w:t>
      </w:r>
      <w:r>
        <w:rPr>
          <w:sz w:val="28"/>
          <w:szCs w:val="28"/>
          <w:highlight w:val="white"/>
        </w:rPr>
        <w:t xml:space="preserve">не обеспечено соответствие кодов статьи и подстатьи доходов в структуре кодов бюджетной классификации.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декабре 2025 года департаментом молодежной политики Оренбургской области осуществлен возврат </w:t>
      </w:r>
      <w:r>
        <w:rPr>
          <w:color w:val="000000" w:themeColor="text1"/>
          <w:sz w:val="28"/>
          <w:szCs w:val="28"/>
          <w:highlight w:val="white"/>
        </w:rPr>
        <w:t xml:space="preserve">субсидий на реализацию мероприятий по обеспечению жильем молодых семей в сумме 1 329,47 рублей </w:t>
      </w:r>
      <w:r>
        <w:rPr>
          <w:sz w:val="28"/>
          <w:szCs w:val="28"/>
          <w:highlight w:val="white"/>
        </w:rPr>
        <w:t xml:space="preserve">по коду бюджетной классификации </w:t>
      </w:r>
      <w:r>
        <w:rPr>
          <w:color w:val="000000" w:themeColor="text1"/>
          <w:sz w:val="28"/>
          <w:szCs w:val="28"/>
          <w:highlight w:val="white"/>
        </w:rPr>
        <w:t xml:space="preserve">892 2 19 25497 02 0000 150 «Возврат остатков субсидий на реализацию мероприятий по обеспечению жильем молодых семей из бюджетов субъектов Российской Федерации» </w:t>
      </w:r>
      <w:r>
        <w:rPr>
          <w:sz w:val="28"/>
          <w:szCs w:val="28"/>
          <w:highlight w:val="white"/>
        </w:rPr>
        <w:t xml:space="preserve">в Министерство строительства Российской Федерации</w:t>
      </w:r>
      <w:r>
        <w:rPr>
          <w:sz w:val="28"/>
          <w:szCs w:val="28"/>
          <w:highlight w:val="white"/>
        </w:rPr>
        <w:t xml:space="preserve"> на  код бюджетной классификации </w:t>
      </w:r>
      <w:r>
        <w:rPr>
          <w:color w:val="000000" w:themeColor="text1"/>
          <w:sz w:val="28"/>
          <w:szCs w:val="28"/>
          <w:highlight w:val="white"/>
        </w:rPr>
        <w:t xml:space="preserve">069 2 18 25497 01 1002 150 «Доходы федерального бюджета от </w:t>
      </w:r>
      <w:r>
        <w:rPr>
          <w:color w:val="000000" w:themeColor="text1"/>
          <w:sz w:val="28"/>
          <w:szCs w:val="28"/>
          <w:highlight w:val="white"/>
        </w:rPr>
        <w:t xml:space="preserve">возврата остатков субсидий на реализацию мероприятий по обеспечению жильем молодых семей из бюдж</w:t>
      </w:r>
      <w:r>
        <w:rPr>
          <w:color w:val="000000" w:themeColor="text1"/>
          <w:sz w:val="28"/>
          <w:szCs w:val="28"/>
          <w:highlight w:val="white"/>
        </w:rPr>
        <w:t xml:space="preserve">етов субъектов Российской Федерации (в части возврата остатков, образовавшихся за счет восстановленной в текущем году дебиторской задолженности прошлых лет)». Министерство строительства Российской Федерации в одностороннем порядке без уведомления </w:t>
      </w:r>
      <w:r>
        <w:rPr>
          <w:sz w:val="28"/>
          <w:szCs w:val="28"/>
          <w:highlight w:val="white"/>
        </w:rPr>
        <w:t xml:space="preserve">департамента молодежной политики Оренбургской области произвело уточнение кода бюджетной классификации.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white"/>
        </w:rPr>
        <w:t xml:space="preserve">Причиной расхождений данных ф.0503317 с данными ф.0503387 по видам расходов 121,122,129 является то, что военно-учетные работники относятся к органам местного самоуправления.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3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993"/>
        <w:gridCol w:w="1481"/>
        <w:gridCol w:w="376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Протокол МДК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Графа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Отклонение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0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6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sz w:val="24"/>
                <w:szCs w:val="24"/>
                <w:highlight w:val="white"/>
                <w:shd w:val="clear" w:color="auto" w:fill="ffffff"/>
              </w:rPr>
              <w:t xml:space="preserve">Не найдены сроки в отчетных формах (ф. </w:t>
            </w:r>
            <w:r>
              <w:rPr>
                <w:sz w:val="24"/>
                <w:szCs w:val="24"/>
                <w:highlight w:val="white"/>
                <w:shd w:val="clear" w:color="auto" w:fill="ffffff"/>
              </w:rPr>
              <w:t xml:space="preserve">0503317), отвечающие условиям соответствия строк записи данного КС. Изменение сумм расчетов по госдолгу по кодам аналитической группы вида источника финансирования дефицитов бюджетов 720/820 ф. 0503317 не соответствует данным ф. 0503372 – требует пояснения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18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1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-0,01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0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Отражена операция по переоценке задолженности по внешним долговым обязательствам на основании акта сверки между Министерством финансов Российской Федерации и министерством финансов Оренбургской области (курсовая разница) </w:t>
            </w:r>
            <w:r>
              <w:rPr>
                <w:rFonts w:eastAsiaTheme="minorHAnsi"/>
                <w:sz w:val="24"/>
                <w:szCs w:val="24"/>
                <w:highlight w:val="white"/>
                <w:lang w:eastAsia="en-US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jc w:val="both"/>
        <w:spacing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spacing w:line="240" w:lineRule="auto"/>
        <w:rPr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  <w:t xml:space="preserve">Отчет ф. 0503320 «Баланс исполнения консолидированного бюджета субъекта и ТГВБФ»                </w:t>
      </w: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Остатки бюджетных средств консолидированного бюджета Оренбургской области на 01.01.2026 года составили 8 119 033 462,96 рублей, в том числе остатки областного бюджета 1 627 145 953,15 рублей.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     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 xml:space="preserve">Показатели по счетам 205 51 000, 205 61 000, 401 40 151, 401 40 161 консолидированы. В показателях о</w:t>
      </w:r>
      <w:r>
        <w:rPr>
          <w:sz w:val="28"/>
          <w:szCs w:val="28"/>
          <w:highlight w:val="white"/>
        </w:rPr>
        <w:t xml:space="preserve">тчета по указанным счетам включены начисленные доходы будущих периодов по предоставляемым в 2025-2027 годах межбюджетным трансфертам из федерального бюджета.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Указанные показатели в Таблице консолидированных расчетов в составе Баланса ф.0503320 не отражен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Баланс (</w:t>
      </w:r>
      <w:hyperlink r:id="rId14" w:tooltip="https://internet.garant.ru/#/document/12181732/entry/503320" w:history="1">
        <w:r>
          <w:rPr>
            <w:rStyle w:val="894"/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  <w:u w:val="none"/>
          </w:rPr>
          <w:t xml:space="preserve">ф. 0503320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Справки о наличии имущества и обязательств на забалансовых счетах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center"/>
        <w:rPr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</w:p>
    <w:tbl>
      <w:tblPr>
        <w:tblW w:w="93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369"/>
        <w:gridCol w:w="948"/>
        <w:gridCol w:w="2262"/>
        <w:gridCol w:w="377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Протокол ВДК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Графа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Отклонение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ind w:firstLine="709"/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6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textDirection w:val="lrTb"/>
            <w:noWrap w:val="false"/>
          </w:tcPr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 xml:space="preserve">Раздел 1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 xml:space="preserve">стр. 250 &lt; стр. 251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 xml:space="preserve">требуется пояснение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 xml:space="preserve">Раздел 1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 xml:space="preserve">стр. 270 &lt; стр. 271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 xml:space="preserve">требуется пояснение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19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17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19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right"/>
              <w:spacing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right"/>
              <w:spacing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-20 167 914 527,62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right"/>
              <w:spacing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-29 832 327 956,84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right"/>
              <w:spacing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right"/>
              <w:spacing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right"/>
              <w:spacing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right"/>
              <w:spacing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-462 140 444,50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right"/>
              <w:spacing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-462 140 444,50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right"/>
              <w:spacing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-234 768 569,50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right"/>
              <w:spacing w:line="240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-234 768 569,50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Показатели по счету 1 205 00 000 сформированы без </w:t>
            </w:r>
            <w:r>
              <w:rPr>
                <w:highlight w:val="white"/>
              </w:rPr>
              <w:t xml:space="preserve">взимоисключения</w:t>
            </w:r>
            <w:r>
              <w:rPr>
                <w:highlight w:val="white"/>
              </w:rPr>
              <w:t xml:space="preserve"> долгосрочной задолженности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Показатели по счету 1 207 00 000 сформированы без </w:t>
            </w:r>
            <w:r>
              <w:rPr>
                <w:highlight w:val="white"/>
              </w:rPr>
              <w:t xml:space="preserve">взимоисключения</w:t>
            </w:r>
            <w:r>
              <w:rPr>
                <w:highlight w:val="white"/>
              </w:rPr>
              <w:t xml:space="preserve"> долгосрочной задолженности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both"/>
        <w:rPr>
          <w:bCs/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ind w:firstLine="708"/>
        <w:jc w:val="both"/>
        <w:rPr>
          <w:bCs/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ind w:firstLine="708"/>
        <w:jc w:val="both"/>
        <w:rPr>
          <w:bCs/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p>
      <w:pPr>
        <w:ind w:firstLine="708"/>
        <w:jc w:val="both"/>
        <w:rPr>
          <w:bCs/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p>
      <w:pPr>
        <w:ind w:firstLine="708"/>
        <w:jc w:val="both"/>
        <w:rPr>
          <w:bCs/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tbl>
      <w:tblPr>
        <w:tblW w:w="93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134"/>
        <w:gridCol w:w="2409"/>
        <w:gridCol w:w="339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ind w:firstLine="0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Протокол МДК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Графа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Сумма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8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6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 xml:space="preserve">Финансовый результат по счетам баланса не соответствует идентичному показателю в ф. 0503321 – допустимо на сумму заключительных оборотов по счету 0 304 06 000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10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11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none"/>
              </w:rPr>
              <w:t xml:space="preserve">14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186 032 154,41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none"/>
              </w:rPr>
            </w:r>
            <w:r>
              <w:rPr>
                <w:highlight w:val="white"/>
              </w:rPr>
              <w:t xml:space="preserve">-222 717,29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white"/>
              </w:rPr>
              <w:t xml:space="preserve">25 </w:t>
            </w:r>
            <w:r>
              <w:rPr>
                <w:highlight w:val="white"/>
              </w:rPr>
              <w:t xml:space="preserve">331 481,94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38 261 591,50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8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Отклонения соответствуют заключительным оборотам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(показатели по счету 30</w:t>
            </w:r>
            <w:r>
              <w:rPr>
                <w:highlight w:val="white"/>
              </w:rPr>
              <w:t xml:space="preserve">406000, отраженные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в ф. 0503110</w:t>
            </w:r>
            <w:r>
              <w:rPr>
                <w:highlight w:val="white"/>
              </w:rPr>
              <w:t xml:space="preserve">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708"/>
        <w:jc w:val="both"/>
        <w:rPr>
          <w:bCs/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p>
      <w:pPr>
        <w:ind w:firstLine="708"/>
        <w:jc w:val="both"/>
        <w:rPr>
          <w:bCs/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white"/>
        </w:rPr>
        <w:t xml:space="preserve">Отчет ф. 0503321 «Консолидированный отчет о финансовых результатах деятельности»</w:t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p>
      <w:pPr>
        <w:jc w:val="both"/>
        <w:rPr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</w:p>
    <w:tbl>
      <w:tblPr>
        <w:tblW w:w="93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134"/>
        <w:gridCol w:w="2410"/>
        <w:gridCol w:w="339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ind w:firstLine="0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Протокол ВДК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Графа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Сумма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8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0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 xml:space="preserve">Отрицательные показатели требуют пояснения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shd w:val="clear" w:color="auto" w:fill="ffffff"/>
              </w:rPr>
              <w:t xml:space="preserve">Строка 090,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shd w:val="clear" w:color="auto" w:fill="ffffff"/>
              </w:rPr>
              <w:t xml:space="preserve">КОСГУ 172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0" w:firstLine="0"/>
              <w:jc w:val="right"/>
              <w:rPr>
                <w:highlight w:val="none"/>
              </w:rPr>
            </w:pPr>
            <w:r>
              <w:rPr>
                <w:highlight w:val="white"/>
              </w:rPr>
              <w:t xml:space="preserve">-</w:t>
            </w:r>
            <w:r>
              <w:rPr>
                <w:highlight w:val="white"/>
              </w:rPr>
              <w:t xml:space="preserve">7</w:t>
            </w: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9</w:t>
            </w: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6</w:t>
            </w:r>
            <w:r>
              <w:rPr>
                <w:highlight w:val="white"/>
              </w:rPr>
              <w:t xml:space="preserve">6</w:t>
            </w:r>
            <w:r>
              <w:rPr>
                <w:highlight w:val="white"/>
              </w:rPr>
              <w:t xml:space="preserve">0</w:t>
            </w:r>
            <w:r>
              <w:rPr>
                <w:highlight w:val="white"/>
              </w:rPr>
              <w:t xml:space="preserve">,</w:t>
            </w:r>
            <w:r>
              <w:rPr>
                <w:highlight w:val="white"/>
              </w:rPr>
              <w:t xml:space="preserve">6</w:t>
            </w:r>
            <w:r>
              <w:rPr>
                <w:highlight w:val="white"/>
              </w:rPr>
              <w:t xml:space="preserve">2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left="0" w:firstLine="0"/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-723 872 001,58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left="0" w:firstLine="0"/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-4 057 886 002,67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left="0" w:firstLine="0"/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-378 289 100,35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left="0" w:firstLine="0"/>
              <w:jc w:val="right"/>
              <w:rPr>
                <w:highlight w:val="white"/>
              </w:rPr>
            </w:pPr>
            <w:r>
              <w:rPr>
                <w:highlight w:val="non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Доходы от </w:t>
            </w:r>
            <w:r>
              <w:rPr>
                <w:highlight w:val="white"/>
              </w:rPr>
              <w:t xml:space="preserve">выбытия активов, в том числе: выбытия в связи со списанием аварийных жилых помещений; выбытия квартир, оформленных в собственность граждан; уменьшение расчетов с учредителями на сумму особо ценного имущества в связи с его уменьшением за счет произведенной </w:t>
            </w:r>
            <w:r>
              <w:rPr>
                <w:highlight w:val="white"/>
              </w:rPr>
              <w:t xml:space="preserve">реклассификации</w:t>
            </w:r>
            <w:r>
              <w:rPr>
                <w:highlight w:val="white"/>
              </w:rPr>
              <w:t xml:space="preserve"> и перевода из разряда недвижимого в состав движимого имущества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7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  <w:shd w:val="clear" w:color="auto" w:fill="ffffff"/>
              </w:rPr>
              <w:t xml:space="preserve">Строка 090,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 xml:space="preserve">КОСГУ 173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-78 677 256,08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-363 690,10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8" w:type="dxa"/>
            <w:vMerge w:val="restart"/>
            <w:textDirection w:val="lrTb"/>
            <w:noWrap w:val="false"/>
          </w:tcPr>
          <w:p>
            <w:pPr>
              <w:rPr>
                <w:color w:val="ff0000"/>
                <w:highlight w:val="white"/>
              </w:rPr>
            </w:pPr>
            <w:r>
              <w:rPr>
                <w:highlight w:val="white"/>
              </w:rPr>
              <w:t xml:space="preserve">Списание начисленных ранее доходов, нереальных к взысканию, списание объектов незавершенного строительства</w:t>
            </w:r>
            <w:r>
              <w:rPr>
                <w:color w:val="ff0000"/>
                <w:highlight w:val="white"/>
              </w:rPr>
            </w:r>
            <w:r>
              <w:rPr>
                <w:color w:val="ff0000"/>
                <w:highlight w:val="white"/>
              </w:rPr>
            </w:r>
          </w:p>
        </w:tc>
      </w:tr>
      <w:tr>
        <w:tblPrEx/>
        <w:trPr>
          <w:trHeight w:val="11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  <w:shd w:val="clear" w:color="auto" w:fill="ffffff"/>
              </w:rPr>
              <w:t xml:space="preserve">Строка 090,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 xml:space="preserve">КОСГУ 176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-7 941 973,01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-42 </w:t>
            </w:r>
            <w:r>
              <w:rPr>
                <w:highlight w:val="white"/>
              </w:rPr>
              <w:t xml:space="preserve">9</w:t>
            </w:r>
            <w:r>
              <w:rPr>
                <w:highlight w:val="white"/>
              </w:rPr>
              <w:t xml:space="preserve">8</w:t>
            </w: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  <w:t xml:space="preserve">9</w:t>
            </w:r>
            <w:r>
              <w:rPr>
                <w:highlight w:val="white"/>
              </w:rPr>
              <w:t xml:space="preserve">,</w:t>
            </w:r>
            <w:r>
              <w:rPr>
                <w:highlight w:val="white"/>
              </w:rPr>
              <w:t xml:space="preserve">7</w:t>
            </w: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-44 145 464,84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-193 175 232,03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8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Уменьшение кадастровой стоимости земли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1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  <w:shd w:val="clear" w:color="auto" w:fill="ffffff"/>
              </w:rPr>
              <w:t xml:space="preserve">Строка 250,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  <w:t xml:space="preserve">КОСГУ 274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-6 053 432,48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-6 053 432,48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-11 042 024,74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8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Проведено обесценение земельных участков при реализации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both"/>
        <w:rPr>
          <w:bCs/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jc w:val="both"/>
        <w:rPr>
          <w:bCs/>
          <w:i/>
          <w:sz w:val="28"/>
          <w:szCs w:val="28"/>
          <w:highlight w:val="white"/>
        </w:rPr>
      </w:pP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jc w:val="both"/>
        <w:rPr>
          <w:bCs/>
          <w:i/>
          <w:sz w:val="28"/>
          <w:szCs w:val="28"/>
          <w:highlight w:val="white"/>
        </w:rPr>
      </w:pP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jc w:val="both"/>
        <w:rPr>
          <w:bCs/>
          <w:i/>
          <w:sz w:val="28"/>
          <w:szCs w:val="28"/>
          <w:highlight w:val="white"/>
        </w:rPr>
      </w:pP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jc w:val="both"/>
        <w:rPr>
          <w:bCs/>
          <w:i/>
          <w:sz w:val="28"/>
          <w:szCs w:val="28"/>
          <w:highlight w:val="white"/>
        </w:rPr>
      </w:pP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jc w:val="both"/>
        <w:rPr>
          <w:bCs/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tbl>
      <w:tblPr>
        <w:tblW w:w="93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82"/>
        <w:gridCol w:w="2100"/>
        <w:gridCol w:w="396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82" w:type="dxa"/>
            <w:textDirection w:val="lrTb"/>
            <w:noWrap w:val="false"/>
          </w:tcPr>
          <w:p>
            <w:pPr>
              <w:ind w:firstLine="709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МДК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Пояснение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6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82" w:type="dxa"/>
            <w:textDirection w:val="lrTb"/>
            <w:noWrap w:val="false"/>
          </w:tcPr>
          <w:p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Сумма начисленных расходов в ф. 0503321 по гр. 4 не соответствует сумме </w:t>
            </w:r>
            <w:r>
              <w:rPr>
                <w:shd w:val="clear" w:color="auto" w:fill="ffffff"/>
              </w:rPr>
              <w:t xml:space="preserve">неденежных</w:t>
            </w:r>
            <w:r>
              <w:rPr>
                <w:shd w:val="clear" w:color="auto" w:fill="ffffff"/>
              </w:rPr>
              <w:t xml:space="preserve"> расчетов в  </w:t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ф. 0503125 по счету </w:t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401 20 251 – требуется пояснение</w:t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jc w:val="right"/>
            </w:pPr>
            <w:r>
              <w:t xml:space="preserve">9 101 108,85</w:t>
            </w:r>
            <w:r/>
          </w:p>
          <w:p>
            <w:pPr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r>
              <w:t xml:space="preserve">В том числе:</w:t>
            </w:r>
            <w:r/>
          </w:p>
          <w:p>
            <w:r>
              <w:t xml:space="preserve">4 412 910,95 - </w:t>
            </w:r>
            <w:r>
              <w:rPr>
                <w:shd w:val="clear" w:color="auto" w:fill="ffffff"/>
              </w:rPr>
              <w:t xml:space="preserve">по КВР 000 отражены расходы ссудодателя по предоставлению права пользования активом на льготных условиях; </w:t>
            </w:r>
            <w:r>
              <w:t xml:space="preserve"> </w:t>
            </w:r>
            <w:r/>
          </w:p>
          <w:p>
            <w:r>
              <w:t xml:space="preserve">4 688 197,90 - </w:t>
            </w:r>
            <w:r>
              <w:rPr>
                <w:shd w:val="clear" w:color="auto" w:fill="ffffff"/>
              </w:rPr>
              <w:t xml:space="preserve">по КВР 807 отражены безвозмездные межбюджетные </w:t>
            </w:r>
            <w:r>
              <w:rPr>
                <w:shd w:val="clear" w:color="auto" w:fill="ffffff"/>
              </w:rPr>
              <w:t xml:space="preserve">неденежные</w:t>
            </w:r>
            <w:r>
              <w:rPr>
                <w:shd w:val="clear" w:color="auto" w:fill="ffffff"/>
              </w:rPr>
              <w:t xml:space="preserve"> передачи бюджетным (автономным) учреждениям. </w:t>
            </w:r>
            <w:r/>
          </w:p>
        </w:tc>
      </w:tr>
    </w:tbl>
    <w:p>
      <w:pPr>
        <w:jc w:val="both"/>
        <w:rPr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</w:p>
    <w:p>
      <w:pPr>
        <w:ind w:firstLine="708"/>
        <w:jc w:val="both"/>
        <w:spacing w:after="200" w:line="276" w:lineRule="auto"/>
        <w:rPr>
          <w:bCs/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  <w:t xml:space="preserve">Отчет ф. 0503323 «Консолидированный отчет о движении денежных средств» </w:t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tbl>
      <w:tblPr>
        <w:tblW w:w="93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82"/>
        <w:gridCol w:w="2100"/>
        <w:gridCol w:w="3969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82" w:type="dxa"/>
            <w:textDirection w:val="lrTb"/>
            <w:noWrap w:val="false"/>
          </w:tcPr>
          <w:p>
            <w:pPr>
              <w:ind w:firstLine="709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Протокол МДК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Сумма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8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Показатель изменения остатков средств по ф.0503323 не соответствует показателю изменения остатков по ф.0503317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2 036 637,33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Остатки средств в кассе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708"/>
        <w:jc w:val="both"/>
        <w:rPr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</w:p>
    <w:p>
      <w:pPr>
        <w:ind w:firstLine="708"/>
        <w:jc w:val="both"/>
        <w:rPr>
          <w:bCs/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  <w:t xml:space="preserve">Отчет ф. 0503110 «Справка о заключении счетов бюджетного учета отчетного финансового года»</w:t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93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82"/>
        <w:gridCol w:w="2100"/>
        <w:gridCol w:w="396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82" w:type="dxa"/>
            <w:textDirection w:val="lrTb"/>
            <w:noWrap w:val="false"/>
          </w:tcPr>
          <w:p>
            <w:pPr>
              <w:ind w:firstLine="709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Протокол ФЛК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ind w:firstLine="709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Сумма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ind w:firstLine="709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6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82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  <w:highlight w:val="white"/>
                <w:shd w:val="clear" w:color="auto" w:fill="ffffff"/>
              </w:rPr>
            </w:pPr>
            <w:r>
              <w:rPr>
                <w:sz w:val="24"/>
                <w:szCs w:val="24"/>
                <w:highlight w:val="white"/>
                <w:shd w:val="clear" w:color="auto" w:fill="ffffff"/>
              </w:rPr>
              <w:t xml:space="preserve">Отражение КОСГУ 136 в ф. 0503110 требует пояснения</w:t>
            </w:r>
            <w:r>
              <w:rPr>
                <w:sz w:val="24"/>
                <w:szCs w:val="24"/>
                <w:highlight w:val="white"/>
                <w:shd w:val="clear" w:color="auto" w:fill="ffffff"/>
              </w:rPr>
            </w:r>
            <w:r>
              <w:rPr>
                <w:sz w:val="24"/>
                <w:szCs w:val="24"/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shd w:val="clear" w:color="auto" w:fill="ffffff"/>
              </w:rPr>
            </w:r>
            <w:r>
              <w:rPr>
                <w:sz w:val="24"/>
                <w:szCs w:val="24"/>
                <w:highlight w:val="white"/>
                <w:shd w:val="clear" w:color="auto" w:fill="ffffff"/>
              </w:rPr>
              <w:t xml:space="preserve">сч</w:t>
            </w:r>
            <w:r>
              <w:rPr>
                <w:sz w:val="24"/>
                <w:szCs w:val="24"/>
                <w:highlight w:val="white"/>
                <w:shd w:val="clear" w:color="auto" w:fill="ffffff"/>
              </w:rPr>
              <w:t xml:space="preserve">. 1 401 10 136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pacing w:line="240" w:lineRule="auto"/>
              <w:rPr>
                <w:sz w:val="24"/>
                <w:szCs w:val="24"/>
                <w:highlight w:val="white"/>
                <w:shd w:val="clear" w:color="auto" w:fill="ffffff"/>
              </w:rPr>
            </w:pPr>
            <w:r>
              <w:rPr>
                <w:sz w:val="24"/>
                <w:szCs w:val="24"/>
                <w:highlight w:val="white"/>
                <w:shd w:val="clear" w:color="auto" w:fill="ffffff"/>
              </w:rPr>
              <w:t xml:space="preserve">КБК 11302992020000130</w:t>
            </w:r>
            <w:r>
              <w:rPr>
                <w:sz w:val="24"/>
                <w:szCs w:val="24"/>
                <w:highlight w:val="white"/>
                <w:shd w:val="clear" w:color="auto" w:fill="ffffff"/>
              </w:rPr>
            </w:r>
            <w:r>
              <w:rPr>
                <w:sz w:val="24"/>
                <w:szCs w:val="24"/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sz w:val="24"/>
                <w:szCs w:val="24"/>
                <w:highlight w:val="white"/>
                <w:shd w:val="clear" w:color="auto" w:fill="ffffff"/>
              </w:rPr>
              <w:t xml:space="preserve">КБК 11302992040000130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highlight w:val="white"/>
                <w:shd w:val="clear" w:color="auto" w:fill="ffffff"/>
              </w:rPr>
            </w:pPr>
            <w:r>
              <w:rPr>
                <w:sz w:val="24"/>
                <w:szCs w:val="24"/>
                <w:highlight w:val="white"/>
                <w:shd w:val="clear" w:color="auto" w:fill="ffffff"/>
              </w:rPr>
              <w:t xml:space="preserve">КБК 11302992050000130</w:t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709"/>
              <w:jc w:val="center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709"/>
              <w:jc w:val="center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3 496 414,26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255 548,57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28 254,94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Начислен доход от возврата субсидии на государственное задание прошлых лет по результатам проверки при условии невыполнения государственного задания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6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82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  <w:highlight w:val="white"/>
                <w:shd w:val="clear" w:color="auto" w:fill="ffffff"/>
              </w:rPr>
            </w:pPr>
            <w:r>
              <w:rPr>
                <w:sz w:val="24"/>
                <w:szCs w:val="24"/>
                <w:highlight w:val="white"/>
                <w:shd w:val="clear" w:color="auto" w:fill="ffffff"/>
              </w:rPr>
              <w:t xml:space="preserve">КБК доходов или источников не соответствует установленной структуре</w:t>
            </w:r>
            <w:r>
              <w:rPr>
                <w:sz w:val="24"/>
                <w:szCs w:val="24"/>
                <w:highlight w:val="white"/>
                <w:shd w:val="clear" w:color="auto" w:fill="ffffff"/>
              </w:rPr>
            </w:r>
            <w:r>
              <w:rPr>
                <w:sz w:val="24"/>
                <w:szCs w:val="24"/>
                <w:highlight w:val="white"/>
                <w:shd w:val="clear" w:color="auto" w:fill="ffffff"/>
              </w:rPr>
            </w:r>
          </w:p>
          <w:p>
            <w:pPr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02 05 00 00 02 0000 820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709"/>
              <w:jc w:val="center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709"/>
              <w:jc w:val="center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709"/>
              <w:jc w:val="righ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709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white"/>
              </w:rPr>
              <w:t xml:space="preserve">0,01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709"/>
              <w:jc w:val="righ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709"/>
              <w:jc w:val="righ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709"/>
              <w:jc w:val="righ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709"/>
              <w:jc w:val="righ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709"/>
              <w:jc w:val="righ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Отражена операция по переоценке задолженности по внешним долговым обязательствам на основании акта сверки между Министерством финансов Российской Федерации и министерством финансов Оренбургской области (курсовая разница)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both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spacing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spacing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spacing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spacing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spacing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Style w:val="892"/>
        <w:tblW w:w="0" w:type="auto"/>
        <w:tblLayout w:type="fixed"/>
        <w:tblLook w:val="04A0" w:firstRow="1" w:lastRow="0" w:firstColumn="1" w:lastColumn="0" w:noHBand="0" w:noVBand="1"/>
      </w:tblPr>
      <w:tblGrid>
        <w:gridCol w:w="3260"/>
        <w:gridCol w:w="2126"/>
        <w:gridCol w:w="396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Протокол МДК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Сумма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tbl>
      <w:tblPr>
        <w:tblW w:w="93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126"/>
        <w:gridCol w:w="3965"/>
      </w:tblGrid>
      <w:tr>
        <w:tblPrEx/>
        <w:trPr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Отклонения по передачам НФА, ФА, ФО, требующие пояснения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spacing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ф. 0503710 </w:t>
            </w:r>
            <w:r>
              <w:rPr>
                <w:sz w:val="20"/>
                <w:szCs w:val="20"/>
                <w:highlight w:val="white"/>
              </w:rPr>
              <w:t xml:space="preserve">сч</w:t>
            </w:r>
            <w:r>
              <w:rPr>
                <w:sz w:val="20"/>
                <w:szCs w:val="20"/>
                <w:highlight w:val="white"/>
              </w:rPr>
              <w:t xml:space="preserve">. 401 10 191 (196) </w:t>
            </w:r>
            <w:r>
              <w:rPr>
                <w:sz w:val="20"/>
                <w:szCs w:val="20"/>
                <w:highlight w:val="white"/>
              </w:rPr>
              <w:t xml:space="preserve">&lt; &gt;</w:t>
            </w:r>
            <w:r>
              <w:rPr>
                <w:sz w:val="20"/>
                <w:szCs w:val="20"/>
                <w:highlight w:val="white"/>
              </w:rPr>
              <w:t xml:space="preserve"> ф. 0503110 </w:t>
            </w:r>
            <w:r>
              <w:rPr>
                <w:sz w:val="20"/>
                <w:szCs w:val="20"/>
                <w:highlight w:val="white"/>
              </w:rPr>
              <w:t xml:space="preserve">сч</w:t>
            </w:r>
            <w:r>
              <w:rPr>
                <w:sz w:val="20"/>
                <w:szCs w:val="20"/>
                <w:highlight w:val="white"/>
              </w:rPr>
              <w:t xml:space="preserve">. 401 20 251 (807)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left="0" w:firstLine="0"/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-1 869 436,80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5" w:type="dxa"/>
            <w:textDirection w:val="lrTb"/>
            <w:noWrap w:val="false"/>
          </w:tcPr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Передача имущества между учреждениями Оренбургской области и федеральным бюджетом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Министерством здравоохранения Оренбургской области переданы лекарственные средства в</w:t>
            </w:r>
            <w:r>
              <w:rPr>
                <w:highlight w:val="white"/>
              </w:rPr>
              <w:t xml:space="preserve"> ФГБУ «Национальный медицинский исследовательский центр ДГОИ им. Дмитрия Рогачева Минздрава России»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7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Отклонения по передачам НФА, ФА, ФО, требующие пояснения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ф. 0503710 </w:t>
            </w:r>
            <w:r>
              <w:rPr>
                <w:sz w:val="20"/>
                <w:szCs w:val="20"/>
                <w:highlight w:val="white"/>
              </w:rPr>
              <w:t xml:space="preserve">сч</w:t>
            </w:r>
            <w:r>
              <w:rPr>
                <w:sz w:val="20"/>
                <w:szCs w:val="20"/>
                <w:highlight w:val="white"/>
              </w:rPr>
              <w:t xml:space="preserve">. 401 20 251 (806) </w:t>
            </w:r>
            <w:r>
              <w:rPr>
                <w:sz w:val="20"/>
                <w:szCs w:val="20"/>
                <w:highlight w:val="white"/>
              </w:rPr>
              <w:t xml:space="preserve">&lt; &gt;</w:t>
            </w:r>
            <w:r>
              <w:rPr>
                <w:sz w:val="20"/>
                <w:szCs w:val="20"/>
                <w:highlight w:val="white"/>
              </w:rPr>
              <w:t xml:space="preserve"> ф. 0503110 </w:t>
            </w:r>
            <w:r>
              <w:rPr>
                <w:sz w:val="20"/>
                <w:szCs w:val="20"/>
                <w:highlight w:val="white"/>
              </w:rPr>
              <w:t xml:space="preserve">сч</w:t>
            </w:r>
            <w:r>
              <w:rPr>
                <w:sz w:val="20"/>
                <w:szCs w:val="20"/>
                <w:highlight w:val="white"/>
              </w:rPr>
              <w:t xml:space="preserve">. 401 10 191 (197)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left="0" w:firstLine="0"/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-3 514 585,79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5" w:type="dxa"/>
            <w:textDirection w:val="lrTb"/>
            <w:noWrap w:val="false"/>
          </w:tcPr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Передача имущества между учреждениями Оренбургской области и федеральным бюджетом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Министерством физической культуры и спорта Оренбургской области получены кубки, медали от ФГАУ «Федеральная дирекция организаций и проведения спортивных физкультурных мероприятий»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6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Отклонения по передачам НФА, ФА, ФО, требующие пояснения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spacing w:line="240" w:lineRule="auto"/>
              <w:rPr>
                <w:sz w:val="28"/>
                <w:szCs w:val="28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ф. 0503710 </w:t>
            </w:r>
            <w:r>
              <w:rPr>
                <w:sz w:val="20"/>
                <w:szCs w:val="20"/>
                <w:highlight w:val="white"/>
              </w:rPr>
              <w:t xml:space="preserve">сч</w:t>
            </w:r>
            <w:r>
              <w:rPr>
                <w:sz w:val="20"/>
                <w:szCs w:val="20"/>
                <w:highlight w:val="white"/>
              </w:rPr>
              <w:t xml:space="preserve">. 401 10 195 (196) </w:t>
            </w:r>
            <w:r>
              <w:rPr>
                <w:sz w:val="20"/>
                <w:szCs w:val="20"/>
                <w:highlight w:val="white"/>
              </w:rPr>
              <w:t xml:space="preserve">&lt; &gt;</w:t>
            </w:r>
            <w:r>
              <w:rPr>
                <w:sz w:val="20"/>
                <w:szCs w:val="20"/>
                <w:highlight w:val="white"/>
              </w:rPr>
              <w:t xml:space="preserve"> ф. 0503110 </w:t>
            </w:r>
            <w:r>
              <w:rPr>
                <w:sz w:val="20"/>
                <w:szCs w:val="20"/>
                <w:highlight w:val="white"/>
              </w:rPr>
              <w:t xml:space="preserve">сч</w:t>
            </w:r>
            <w:r>
              <w:rPr>
                <w:sz w:val="20"/>
                <w:szCs w:val="20"/>
                <w:highlight w:val="white"/>
              </w:rPr>
              <w:t xml:space="preserve">. 401 20 254 (807)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134 113 381,98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5" w:type="dxa"/>
            <w:textDirection w:val="lrTb"/>
            <w:noWrap w:val="false"/>
          </w:tcPr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Передача имущества между учреждениями Оренбургской области и федеральным бюджетом</w:t>
            </w:r>
            <w:r>
              <w:rPr>
                <w:highlight w:val="white"/>
              </w:rPr>
              <w:t xml:space="preserve">.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 в том числе: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706"/>
              <w:ind w:left="-15"/>
              <w:jc w:val="left"/>
              <w:spacing w:before="0" w:after="0" w:line="240" w:lineRule="auto"/>
              <w:shd w:val="clear" w:color="auto" w:fill="ffffff"/>
              <w:rPr>
                <w:rFonts w:ascii="Times New Roman" w:hAnsi="Times New Roman" w:cs="Times New Roman"/>
                <w:b w:val="0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highlight w:val="white"/>
              </w:rPr>
              <w:t xml:space="preserve">158 496 027,00 -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highlight w:val="white"/>
              </w:rPr>
              <w:t xml:space="preserve">ГАПОУ «О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highlight w:val="white"/>
              </w:rPr>
              <w:t xml:space="preserve">ренбургский автотранспортный колледж им. В.Н.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highlight w:val="white"/>
              </w:rPr>
              <w:t xml:space="preserve">Бевзюка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highlight w:val="white"/>
              </w:rPr>
              <w:t xml:space="preserve">» получены автобусы от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highlight w:val="white"/>
              </w:rPr>
              <w:t xml:space="preserve">Министерства промышленности и торговли Российской Федерации;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color w:val="000000" w:themeColor="text1"/>
                <w:highlight w:val="white"/>
              </w:rPr>
            </w:r>
          </w:p>
          <w:p>
            <w:pPr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1,00 – ГБУ </w:t>
            </w:r>
            <w:r>
              <w:rPr>
                <w:sz w:val="24"/>
                <w:szCs w:val="24"/>
                <w:highlight w:val="white"/>
              </w:rPr>
              <w:t xml:space="preserve"> «Объединенный государственный архив Оренбургской области» </w:t>
            </w: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л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ч</w:t>
            </w:r>
            <w:r>
              <w:rPr>
                <w:sz w:val="24"/>
                <w:szCs w:val="24"/>
                <w:highlight w:val="white"/>
              </w:rPr>
              <w:t xml:space="preserve">е</w:t>
            </w:r>
            <w:r>
              <w:rPr>
                <w:sz w:val="24"/>
                <w:szCs w:val="24"/>
                <w:highlight w:val="white"/>
              </w:rPr>
              <w:t xml:space="preserve">н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л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(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б</w:t>
            </w:r>
            <w:r>
              <w:rPr>
                <w:sz w:val="24"/>
                <w:szCs w:val="24"/>
                <w:highlight w:val="white"/>
              </w:rPr>
              <w:t xml:space="preserve">е</w:t>
            </w:r>
            <w:r>
              <w:rPr>
                <w:sz w:val="24"/>
                <w:szCs w:val="24"/>
                <w:highlight w:val="white"/>
              </w:rPr>
              <w:t xml:space="preserve">ж</w:t>
            </w:r>
            <w:r>
              <w:rPr>
                <w:sz w:val="24"/>
                <w:szCs w:val="24"/>
                <w:highlight w:val="white"/>
              </w:rPr>
              <w:t xml:space="preserve">и</w:t>
            </w:r>
            <w:r>
              <w:rPr>
                <w:sz w:val="24"/>
                <w:szCs w:val="24"/>
                <w:highlight w:val="white"/>
              </w:rPr>
              <w:t xml:space="preserve">щ</w:t>
            </w:r>
            <w:r>
              <w:rPr>
                <w:sz w:val="24"/>
                <w:szCs w:val="24"/>
                <w:highlight w:val="white"/>
              </w:rPr>
              <w:t xml:space="preserve">е</w:t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highlight w:val="white"/>
              </w:rPr>
              <w:t xml:space="preserve">от Территориального управления Росимущества в Оренбургской области;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06"/>
              <w:ind w:left="-15"/>
              <w:jc w:val="left"/>
              <w:spacing w:before="0" w:after="0" w:line="240" w:lineRule="auto"/>
              <w:shd w:val="clear" w:color="auto" w:fill="ffffff"/>
              <w:rPr>
                <w:rFonts w:ascii="Times New Roman" w:hAnsi="Times New Roman" w:cs="Times New Roman"/>
                <w:b w:val="0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highlight w:val="white"/>
              </w:rPr>
              <w:t xml:space="preserve">1 094 693,28 – ГАУЗ «Октябрьская РБ» получено имущество от Территориального управления Росимущества в Оренбургской области;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color w:val="000000" w:themeColor="text1"/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-25 342 982,18 – администрацией муниципального образования переданы </w:t>
            </w:r>
            <w:r>
              <w:rPr>
                <w:highlight w:val="white"/>
              </w:rPr>
              <w:t xml:space="preserve">в </w:t>
            </w:r>
            <w:r>
              <w:rPr>
                <w:highlight w:val="white"/>
              </w:rPr>
              <w:t xml:space="preserve">ФГБВУ «</w:t>
            </w:r>
            <w:r>
              <w:rPr>
                <w:highlight w:val="white"/>
              </w:rPr>
              <w:t xml:space="preserve">Центррегионводхоз» земельные участки;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-134 357,12 – администрацией муниципального образования переданы нежилые здания в ФГБУ «Объединенная дирекция государственных природных заповедников «Оренбургский» и «Шайтан-тау»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708"/>
        <w:jc w:val="both"/>
        <w:spacing w:line="240" w:lineRule="auto"/>
        <w:rPr>
          <w:bCs/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  <w:t xml:space="preserve"> </w:t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ind w:firstLine="708"/>
        <w:jc w:val="both"/>
        <w:rPr>
          <w:bCs/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ind w:firstLine="708"/>
        <w:jc w:val="both"/>
        <w:rPr>
          <w:bCs/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white"/>
        </w:rPr>
        <w:t xml:space="preserve">Отчет ф. 0503125 «Справка по консолидируемым расчетам»</w:t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p>
      <w:pPr>
        <w:jc w:val="both"/>
        <w:rPr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</w:p>
    <w:p>
      <w:pPr>
        <w:ind w:firstLine="708"/>
        <w:jc w:val="both"/>
        <w:rPr>
          <w:rFonts w:eastAsiaTheme="minorHAnsi"/>
          <w:sz w:val="28"/>
          <w:szCs w:val="28"/>
          <w:highlight w:val="non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По счету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1 301 21 710 «Уменьшение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(заимствований)»                                           по КБК 0205 0000 02 0000 820 </w:t>
      </w:r>
      <w:r>
        <w:rPr>
          <w:sz w:val="28"/>
          <w:szCs w:val="28"/>
          <w:highlight w:val="white"/>
        </w:rPr>
        <w:t xml:space="preserve">отражена операция по переоценке задолженности по внешним долговым обязательствам на 0,01 рубль (положительная курсовая разница) на основании акта сверки между Министерством финансов Российской Федерации и министерством финансов Оренбургской области. 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none"/>
        </w:rPr>
      </w:r>
      <w:r>
        <w:rPr>
          <w:rFonts w:eastAsiaTheme="minorHAnsi"/>
          <w:sz w:val="28"/>
          <w:szCs w:val="28"/>
          <w:highlight w:val="none"/>
        </w:rPr>
      </w:r>
    </w:p>
    <w:p>
      <w:pPr>
        <w:ind w:firstLine="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none"/>
        </w:rPr>
        <w:tab/>
        <w:t xml:space="preserve">По счету 1 301 11 710 «Увеличение задолженности перед бюджетами бюджетной системы Российской Федерации по привлеченным бюджетным кредитам в рублях» по К</w:t>
      </w:r>
      <w:r>
        <w:rPr>
          <w:rFonts w:ascii="Times New Roman" w:hAnsi="Times New Roman" w:eastAsia="Times New Roman" w:cs="Times New Roman" w:eastAsiaTheme="minorHAnsi"/>
          <w:sz w:val="28"/>
          <w:szCs w:val="28"/>
          <w:highlight w:val="none"/>
        </w:rPr>
        <w:t xml:space="preserve">БК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1301 0000 00 0000 720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на операция по возврату Министерством финансов Российской Федерации переплаты процентов по бюджетным креди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там на 6 486,98 рублей согласно требованиям письма Министерства финансов Российской Федерации от 06.03.2026                             № 02-07-06/18094 «Об отражении в бюджетном учете расчетов по переплатам процентов (штрафных санкций) по заимствованиям».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43"/>
        <w:jc w:val="both"/>
        <w:rPr>
          <w:sz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По счету 1 304 06 000 «Расчеты с прочими кредиторами» отражены </w:t>
      </w:r>
      <w:r>
        <w:rPr>
          <w:sz w:val="28"/>
          <w:highlight w:val="white"/>
        </w:rPr>
        <w:t xml:space="preserve">показатели по изменению в 2025 году типа учреждений. Аналогичные показатели отражены в форме 0503725 по виду финансового обеспечения 2, 4, 5. </w:t>
      </w:r>
      <w:r>
        <w:rPr>
          <w:sz w:val="28"/>
          <w:highlight w:val="white"/>
        </w:rPr>
      </w:r>
      <w:r>
        <w:rPr>
          <w:sz w:val="28"/>
          <w:highlight w:val="white"/>
        </w:rPr>
      </w:r>
    </w:p>
    <w:p>
      <w:pPr>
        <w:ind w:firstLine="708"/>
        <w:spacing w:after="200" w:line="276" w:lineRule="auto"/>
        <w:rPr>
          <w:rFonts w:eastAsiaTheme="minorHAnsi"/>
          <w:bCs/>
          <w:i/>
          <w:sz w:val="28"/>
          <w:szCs w:val="28"/>
          <w:highlight w:val="white"/>
        </w:rPr>
      </w:pPr>
      <w:r>
        <w:rPr>
          <w:rFonts w:eastAsiaTheme="minorHAnsi"/>
          <w:i/>
          <w:iCs/>
          <w:sz w:val="28"/>
          <w:szCs w:val="28"/>
          <w:highlight w:val="none"/>
          <w:lang w:eastAsia="en-US"/>
        </w:rPr>
      </w:r>
      <w:r>
        <w:rPr>
          <w:rFonts w:eastAsiaTheme="minorHAnsi"/>
          <w:bCs/>
          <w:i/>
          <w:sz w:val="28"/>
          <w:szCs w:val="28"/>
          <w:highlight w:val="white"/>
        </w:rPr>
      </w:r>
      <w:r>
        <w:rPr>
          <w:rFonts w:eastAsiaTheme="minorHAnsi"/>
          <w:bCs/>
          <w:i/>
          <w:sz w:val="28"/>
          <w:szCs w:val="28"/>
          <w:highlight w:val="white"/>
        </w:rPr>
      </w:r>
    </w:p>
    <w:p>
      <w:pPr>
        <w:ind w:firstLine="708"/>
        <w:spacing w:after="200" w:line="276" w:lineRule="auto"/>
        <w:rPr>
          <w:rFonts w:eastAsiaTheme="minorHAnsi"/>
          <w:i/>
          <w:iCs/>
          <w:sz w:val="28"/>
          <w:szCs w:val="28"/>
          <w:highlight w:val="none"/>
          <w:lang w:eastAsia="en-US"/>
        </w:rPr>
      </w:pPr>
      <w:r>
        <w:rPr>
          <w:i/>
          <w:sz w:val="28"/>
          <w:szCs w:val="28"/>
          <w:highlight w:val="white"/>
        </w:rPr>
        <w:t xml:space="preserve">Отчет ф.</w:t>
      </w:r>
      <w:r>
        <w:rPr>
          <w:i/>
          <w:sz w:val="28"/>
          <w:szCs w:val="28"/>
          <w:highlight w:val="white"/>
          <w:lang w:val="en-US"/>
        </w:rPr>
        <w:t xml:space="preserve"> </w:t>
      </w:r>
      <w:r>
        <w:rPr>
          <w:i/>
          <w:sz w:val="28"/>
          <w:szCs w:val="28"/>
          <w:highlight w:val="white"/>
        </w:rPr>
        <w:t xml:space="preserve">0503368 «</w:t>
      </w:r>
      <w:r>
        <w:rPr>
          <w:rFonts w:eastAsiaTheme="minorHAnsi"/>
          <w:i/>
          <w:iCs/>
          <w:sz w:val="28"/>
          <w:szCs w:val="28"/>
          <w:highlight w:val="white"/>
          <w:lang w:eastAsia="en-US"/>
        </w:rPr>
        <w:t xml:space="preserve">Сведения о движении нефинансовых активов консолидированного бюджета»</w:t>
      </w:r>
      <w:r>
        <w:rPr>
          <w:rFonts w:eastAsiaTheme="minorHAnsi"/>
          <w:i/>
          <w:iCs/>
          <w:sz w:val="28"/>
          <w:szCs w:val="28"/>
          <w:highlight w:val="none"/>
          <w:lang w:eastAsia="en-US"/>
        </w:rPr>
      </w:r>
      <w:r>
        <w:rPr>
          <w:rFonts w:eastAsiaTheme="minorHAnsi"/>
          <w:i/>
          <w:iCs/>
          <w:sz w:val="28"/>
          <w:szCs w:val="28"/>
          <w:highlight w:val="none"/>
          <w:lang w:eastAsia="en-US"/>
        </w:rPr>
      </w:r>
    </w:p>
    <w:tbl>
      <w:tblPr>
        <w:tblW w:w="93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551"/>
        <w:gridCol w:w="3824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ind w:firstLine="709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Протокол МДК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Сумма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4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8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Наличие показателей по строке «Вложения в объекты государственной (муниципальной) казны» требует пояснения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строка 560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графа 3, 4, 6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графа 8, 10, 13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графа 15, 17, 20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графа 22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5 469 428 126,12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8 534 002 303,78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6 095 333 197,35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7 908 097 232,55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4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Отражены операции по движению объектов учета казны: объекты водоснабжения, электроснабжения, теплоснабжения, газоснабжения;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квартиры детям сиротам и гражданам, переселяемым из аварийного жилого фонда;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детские площадки; площадки для сбора твердых коммунальных отходов и др.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center"/>
        <w:rPr>
          <w:rFonts w:eastAsiaTheme="minorHAnsi"/>
          <w:i/>
          <w:iCs/>
          <w:sz w:val="28"/>
          <w:szCs w:val="28"/>
          <w:highlight w:val="white"/>
        </w:rPr>
      </w:pPr>
      <w:r>
        <w:rPr>
          <w:rFonts w:eastAsiaTheme="minorHAnsi"/>
          <w:i/>
          <w:iCs/>
          <w:sz w:val="28"/>
          <w:szCs w:val="28"/>
          <w:highlight w:val="white"/>
          <w:lang w:eastAsia="en-US"/>
        </w:rPr>
      </w:r>
      <w:r>
        <w:rPr>
          <w:rFonts w:eastAsiaTheme="minorHAnsi"/>
          <w:i/>
          <w:iCs/>
          <w:sz w:val="28"/>
          <w:szCs w:val="28"/>
          <w:highlight w:val="white"/>
        </w:rPr>
      </w:r>
      <w:r>
        <w:rPr>
          <w:rFonts w:eastAsiaTheme="minorHAnsi"/>
          <w:i/>
          <w:iCs/>
          <w:sz w:val="28"/>
          <w:szCs w:val="28"/>
          <w:highlight w:val="white"/>
        </w:rPr>
      </w:r>
    </w:p>
    <w:p>
      <w:pPr>
        <w:ind w:firstLine="708"/>
        <w:jc w:val="both"/>
        <w:spacing w:after="200" w:line="276" w:lineRule="auto"/>
        <w:rPr>
          <w:bCs/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p>
      <w:pPr>
        <w:ind w:firstLine="708"/>
        <w:jc w:val="both"/>
        <w:spacing w:after="200" w:line="276" w:lineRule="auto"/>
        <w:rPr>
          <w:bCs/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p>
      <w:pPr>
        <w:ind w:firstLine="708"/>
        <w:jc w:val="both"/>
        <w:spacing w:after="200" w:line="276" w:lineRule="auto"/>
        <w:rPr>
          <w:bCs/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p>
      <w:pPr>
        <w:ind w:firstLine="708"/>
        <w:jc w:val="both"/>
        <w:spacing w:after="200" w:line="276" w:lineRule="auto"/>
        <w:rPr>
          <w:bCs/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p>
      <w:pPr>
        <w:ind w:firstLine="708"/>
        <w:jc w:val="both"/>
        <w:spacing w:after="200" w:line="276" w:lineRule="auto"/>
        <w:rPr>
          <w:bCs/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white"/>
        </w:rPr>
        <w:t xml:space="preserve">Отчет ф. 0503369 «Сведения по дебиторской и кредиторской                                            задолженности»</w:t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p>
      <w:pPr>
        <w:ind w:firstLine="708"/>
        <w:jc w:val="both"/>
        <w:spacing w:after="200" w:line="276" w:lineRule="auto"/>
        <w:rPr>
          <w:bCs w:val="0"/>
          <w:i w:val="0"/>
          <w:sz w:val="28"/>
          <w:szCs w:val="28"/>
          <w:highlight w:val="none"/>
        </w:rPr>
      </w:pPr>
      <w:r>
        <w:rPr>
          <w:bCs/>
          <w:i w:val="0"/>
          <w:iCs w:val="0"/>
          <w:sz w:val="28"/>
          <w:szCs w:val="28"/>
          <w:highlight w:val="none"/>
        </w:rPr>
        <w:t xml:space="preserve">Дебиторская задолженность:</w:t>
      </w:r>
      <w:r>
        <w:rPr>
          <w:bCs w:val="0"/>
          <w:i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tbl>
      <w:tblPr>
        <w:tblW w:w="94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27"/>
        <w:gridCol w:w="396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Протокол ФЛК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6" w:type="dxa"/>
            <w:textDirection w:val="lrTb"/>
            <w:noWrap w:val="false"/>
          </w:tcPr>
          <w:p>
            <w:pPr>
              <w:ind w:firstLine="0"/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Недопустимое соотношение кода вида доходов  и кода счета бюджетного учета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2 02 25016 02 0000 150   120551001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2 02 25143 02 0000 150   120551001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2 02 25203 02 0000 150   120551001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2 02 25557 02 0000 150   120551001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1 16 01077 01 0000 140   120545000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КБК соответствует 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риказу Минфина России от 10.06.2025 № 70н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ind w:firstLine="708"/>
        <w:jc w:val="both"/>
        <w:spacing w:after="200" w:line="276" w:lineRule="auto"/>
        <w:rPr>
          <w:bCs w:val="0"/>
          <w:i w:val="0"/>
          <w:sz w:val="28"/>
          <w:szCs w:val="28"/>
          <w:highlight w:val="none"/>
        </w:rPr>
      </w:pPr>
      <w:r>
        <w:rPr>
          <w:bCs w:val="0"/>
          <w:i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tbl>
      <w:tblPr>
        <w:tblW w:w="94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551"/>
        <w:gridCol w:w="396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</w:t>
            </w:r>
            <w:r>
              <w:rPr>
                <w:sz w:val="28"/>
                <w:szCs w:val="28"/>
                <w:highlight w:val="white"/>
              </w:rPr>
              <w:t xml:space="preserve">ротокол ВДК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Отклонение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6" w:type="dxa"/>
            <w:textDirection w:val="lrTb"/>
            <w:noWrap w:val="false"/>
          </w:tcPr>
          <w:p>
            <w:pPr>
              <w:ind w:firstLine="709"/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Увеличение задолженности по счетам 30302, 30307, 30308, 30311 недопустимо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439,37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6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Увеличение задолженности за счет передачи остатков по счету 130307001 при смене типа учреждения в 2025 году с бюджетного на казенное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Дебетовый остаток по </w:t>
            </w:r>
            <w:r>
              <w:rPr>
                <w:highlight w:val="white"/>
              </w:rPr>
              <w:t xml:space="preserve">счетам  303</w:t>
            </w:r>
            <w:r>
              <w:rPr>
                <w:highlight w:val="white"/>
              </w:rPr>
              <w:t xml:space="preserve">хх, кроме 30314, 30305 требует пояснения (гр.17)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счет 1 303 01 000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счет 1 303 02 000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счет 1 303 06 000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счет 1 303 07 000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счет 1 303 10 000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счет 1 303 11 000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счет 1 303 12 000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счет 1 303 13 000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счет 1 303 15 000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non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none"/>
              </w:rPr>
            </w:pPr>
            <w:r>
              <w:rPr>
                <w:highlight w:val="white"/>
              </w:rPr>
              <w:t xml:space="preserve">3 191,00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138 514,77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205 560,28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11 201,29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23 563,72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1,02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637,00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13 870,00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right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0,22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6" w:type="dxa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firstLine="709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firstLine="709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white"/>
              </w:rPr>
            </w:pPr>
            <w:r>
              <w:rPr>
                <w:highlight w:val="non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40" w:lineRule="auto"/>
              <w:rPr>
                <w:highlight w:val="none"/>
              </w:rPr>
            </w:pPr>
            <w:r>
              <w:rPr>
                <w:highlight w:val="white"/>
              </w:rPr>
              <w:t xml:space="preserve">Восстановление в бюджетном учете дебиторской задолженности прошлых лет по результатам сверки взаимных расчетов с ФНС России. Задолженность свыше 3х лет, налоговым органом принято решение об отказе в возврате. </w:t>
            </w:r>
            <w:r>
              <w:rPr>
                <w:highlight w:val="white"/>
              </w:rPr>
              <w:t xml:space="preserve">Авансовые платежи по налогам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firstLine="708"/>
        <w:jc w:val="both"/>
        <w:spacing w:after="200" w:line="276" w:lineRule="auto"/>
        <w:rPr>
          <w:bCs/>
          <w:i/>
          <w:sz w:val="28"/>
          <w:szCs w:val="28"/>
          <w:highlight w:val="none"/>
        </w:rPr>
      </w:pPr>
      <w:r>
        <w:rPr>
          <w:bCs/>
          <w:i w:val="0"/>
          <w:iCs w:val="0"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tbl>
      <w:tblPr>
        <w:tblW w:w="94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551"/>
        <w:gridCol w:w="396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Протокол МДК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Отклонение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6" w:type="dxa"/>
            <w:textDirection w:val="lrTb"/>
            <w:noWrap w:val="false"/>
          </w:tcPr>
          <w:p>
            <w:pPr>
              <w:ind w:firstLine="0"/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Остаток по счету 120551000, 120561000 по дебиторской задолженности на конец предыдущего года не соответствует остатку на начало текущего года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3 306 000,00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6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В межотчетный период произведена корректировка показателей долгосрочной задолженности, операция отражена по строке 251 в ф. 0503373.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На к</w:t>
            </w:r>
            <w:r>
              <w:rPr>
                <w:highlight w:val="white"/>
              </w:rPr>
              <w:t xml:space="preserve">онсолидацию расчетов по межбюджетным трансфертам операция не </w:t>
            </w:r>
            <w:r>
              <w:rPr>
                <w:highlight w:val="white"/>
              </w:rPr>
              <w:t xml:space="preserve">в</w:t>
            </w:r>
            <w:r>
              <w:rPr>
                <w:highlight w:val="white"/>
              </w:rPr>
              <w:t xml:space="preserve">л</w:t>
            </w:r>
            <w:r>
              <w:rPr>
                <w:highlight w:val="white"/>
              </w:rPr>
              <w:t xml:space="preserve">и</w:t>
            </w:r>
            <w:r>
              <w:rPr>
                <w:highlight w:val="white"/>
              </w:rPr>
              <w:t xml:space="preserve">я</w:t>
            </w:r>
            <w:r>
              <w:rPr>
                <w:highlight w:val="white"/>
              </w:rPr>
              <w:t xml:space="preserve">е</w:t>
            </w:r>
            <w:r>
              <w:rPr>
                <w:highlight w:val="white"/>
              </w:rPr>
              <w:t xml:space="preserve">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540"/>
        <w:jc w:val="both"/>
        <w:spacing w:after="200" w:line="276" w:lineRule="auto"/>
        <w:rPr>
          <w:bCs/>
          <w:i/>
          <w:sz w:val="28"/>
          <w:szCs w:val="28"/>
          <w:highlight w:val="white"/>
        </w:rPr>
      </w:pP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ind w:firstLine="540"/>
        <w:jc w:val="both"/>
        <w:spacing w:after="200" w:line="276" w:lineRule="auto"/>
        <w:rPr>
          <w:bCs/>
          <w:i/>
          <w:sz w:val="28"/>
          <w:szCs w:val="28"/>
          <w:highlight w:val="white"/>
        </w:rPr>
      </w:pPr>
      <w:r>
        <w:rPr>
          <w:bCs/>
          <w:i w:val="0"/>
          <w:iCs w:val="0"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ind w:firstLine="540"/>
        <w:jc w:val="both"/>
        <w:spacing w:after="200" w:line="276" w:lineRule="auto"/>
        <w:rPr>
          <w:bCs w:val="0"/>
          <w:i w:val="0"/>
          <w:sz w:val="28"/>
          <w:szCs w:val="28"/>
          <w:highlight w:val="none"/>
        </w:rPr>
      </w:pPr>
      <w:r>
        <w:rPr>
          <w:bCs/>
          <w:i/>
          <w:sz w:val="28"/>
          <w:szCs w:val="28"/>
          <w:highlight w:val="white"/>
        </w:rPr>
      </w:r>
      <w:r>
        <w:rPr>
          <w:bCs/>
          <w:i w:val="0"/>
          <w:iCs w:val="0"/>
          <w:sz w:val="28"/>
          <w:szCs w:val="28"/>
          <w:highlight w:val="none"/>
        </w:rPr>
        <w:t xml:space="preserve">Кредиторская задолженность</w:t>
      </w:r>
      <w:r>
        <w:rPr>
          <w:bCs/>
          <w:i w:val="0"/>
          <w:iCs w:val="0"/>
          <w:sz w:val="28"/>
          <w:szCs w:val="28"/>
          <w:highlight w:val="none"/>
        </w:rPr>
        <w:t xml:space="preserve">:</w:t>
      </w:r>
      <w:r>
        <w:rPr>
          <w:bCs w:val="0"/>
          <w:i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tbl>
      <w:tblPr>
        <w:tblW w:w="94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27"/>
        <w:gridCol w:w="396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Протокол ФЛК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6" w:type="dxa"/>
            <w:textDirection w:val="lrTb"/>
            <w:noWrap w:val="false"/>
          </w:tcPr>
          <w:p>
            <w:pPr>
              <w:ind w:firstLine="0"/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7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Недопустимое соотношение кода вида доходов  и кода счета бюджетного учета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1 17 14030 10 0000 150  140149155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КБК соответствует 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риказу Минфина России от 10.06.2025 № 70н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ind w:firstLine="540"/>
        <w:jc w:val="both"/>
        <w:spacing w:after="200" w:line="276" w:lineRule="auto"/>
        <w:rPr>
          <w:bCs/>
          <w:i/>
          <w:sz w:val="28"/>
          <w:szCs w:val="28"/>
          <w:highlight w:val="white"/>
        </w:rPr>
      </w:pP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tbl>
      <w:tblPr>
        <w:tblStyle w:val="892"/>
        <w:tblW w:w="0" w:type="auto"/>
        <w:tblLayout w:type="fixed"/>
        <w:tblLook w:val="04A0" w:firstRow="1" w:lastRow="0" w:firstColumn="1" w:lastColumn="0" w:noHBand="0" w:noVBand="1"/>
      </w:tblPr>
      <w:tblGrid>
        <w:gridCol w:w="2976"/>
        <w:gridCol w:w="2551"/>
        <w:gridCol w:w="396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</w:t>
            </w:r>
            <w:r>
              <w:rPr>
                <w:sz w:val="28"/>
                <w:szCs w:val="28"/>
                <w:highlight w:val="white"/>
              </w:rPr>
              <w:t xml:space="preserve">ротокол ВДК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Отклонение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ind w:firstLine="709"/>
              <w:jc w:val="left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         </w:t>
            </w:r>
            <w:r>
              <w:rPr>
                <w:sz w:val="28"/>
                <w:szCs w:val="28"/>
                <w:highlight w:val="white"/>
              </w:rPr>
              <w:t xml:space="preserve">Пояснение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tbl>
      <w:tblPr>
        <w:tblW w:w="94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551"/>
        <w:gridCol w:w="3966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6" w:type="dxa"/>
            <w:textDirection w:val="lrTb"/>
            <w:noWrap w:val="false"/>
          </w:tcPr>
          <w:p>
            <w:pPr>
              <w:ind w:firstLine="709"/>
              <w:jc w:val="left"/>
              <w:spacing w:line="264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none"/>
              </w:rPr>
              <w:t xml:space="preserve">                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spacing w:line="264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Кредитовый остаток по ЕНП требует пояснений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right"/>
              <w:spacing w:line="264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1 526,00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6" w:type="dxa"/>
            <w:vMerge w:val="restart"/>
            <w:textDirection w:val="lrTb"/>
            <w:noWrap w:val="false"/>
          </w:tcPr>
          <w:p>
            <w:pPr>
              <w:jc w:val="left"/>
              <w:tabs>
                <w:tab w:val="left" w:pos="900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В результате технической ошибки </w:t>
            </w:r>
            <w:r>
              <w:rPr>
                <w:highlight w:val="white"/>
              </w:rPr>
              <w:t xml:space="preserve">(неверно </w:t>
            </w:r>
            <w:r>
              <w:rPr>
                <w:highlight w:val="white"/>
              </w:rPr>
              <w:t xml:space="preserve">перечислен</w:t>
            </w:r>
            <w:r>
              <w:rPr>
                <w:highlight w:val="white"/>
              </w:rPr>
              <w:t xml:space="preserve"> НДФЛ) </w:t>
            </w:r>
            <w:r>
              <w:rPr>
                <w:highlight w:val="white"/>
              </w:rPr>
              <w:t xml:space="preserve">образовалась пересортица</w:t>
            </w:r>
            <w:r>
              <w:rPr>
                <w:highlight w:val="white"/>
              </w:rPr>
              <w:t xml:space="preserve"> в разрезе бюджетной классификации по счету 130314000: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left"/>
              <w:tabs>
                <w:tab w:val="left" w:pos="90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  <w:t xml:space="preserve">по КБК 04051840291230121</w:t>
            </w:r>
            <w:r>
              <w:rPr>
                <w:highlight w:val="white"/>
              </w:rPr>
              <w:t xml:space="preserve"> -  </w:t>
            </w:r>
            <w:r>
              <w:rPr>
                <w:highlight w:val="white"/>
              </w:rPr>
              <w:t xml:space="preserve">кредиторская</w:t>
            </w:r>
            <w:r>
              <w:rPr>
                <w:highlight w:val="white"/>
              </w:rPr>
              <w:t xml:space="preserve"> задолженность в сумме 1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526,00 рублей;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tabs>
                <w:tab w:val="left" w:pos="900" w:leader="none"/>
              </w:tabs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КБК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01041640110020121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дебиторская задолженность в сумме </w:t>
            </w:r>
            <w:r>
              <w:rPr>
                <w:highlight w:val="white"/>
              </w:rPr>
              <w:t xml:space="preserve">1 526</w:t>
            </w:r>
            <w:r>
              <w:rPr>
                <w:highlight w:val="white"/>
              </w:rPr>
              <w:t xml:space="preserve">,00 рублей. Уточнение произведено в 2026 году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spacing w:line="264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Кредиторская задолженность по НДФЛ является просроченной задолженностью: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64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  <w:t xml:space="preserve">гр. 2, 5, 11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line="264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счет 1 303 01 001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right"/>
              <w:spacing w:line="264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1 047 174,84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6" w:type="dxa"/>
            <w:vMerge w:val="restart"/>
            <w:textDirection w:val="lrTb"/>
            <w:noWrap w:val="false"/>
          </w:tcPr>
          <w:p>
            <w:pPr>
              <w:ind w:firstLine="0"/>
              <w:spacing w:line="264" w:lineRule="auto"/>
              <w:rPr>
                <w:rFonts w:eastAsia="Calibri"/>
                <w:color w:val="000000"/>
                <w:highlight w:val="white"/>
              </w:rPr>
            </w:pPr>
            <w:r>
              <w:rPr>
                <w:rFonts w:eastAsia="Calibri"/>
                <w:color w:val="000000"/>
                <w:szCs w:val="28"/>
                <w:highlight w:val="white"/>
                <w:lang w:eastAsia="en-US"/>
              </w:rPr>
            </w:r>
            <w:r>
              <w:rPr>
                <w:highlight w:val="white"/>
              </w:rPr>
              <w:t xml:space="preserve">Задолженность не является просроченной</w:t>
            </w:r>
            <w:r>
              <w:rPr>
                <w:highlight w:val="white"/>
              </w:rPr>
              <w:t xml:space="preserve">. Остаток </w:t>
            </w:r>
            <w:r>
              <w:rPr>
                <w:rFonts w:eastAsia="Calibri"/>
                <w:color w:val="000000"/>
                <w:szCs w:val="28"/>
                <w:highlight w:val="white"/>
                <w:lang w:eastAsia="en-US"/>
              </w:rPr>
              <w:t xml:space="preserve">связан с </w:t>
            </w:r>
            <w:r>
              <w:rPr>
                <w:rFonts w:eastAsia="Calibri"/>
                <w:color w:val="000000"/>
                <w:szCs w:val="28"/>
                <w:highlight w:val="white"/>
                <w:lang w:eastAsia="en-US"/>
              </w:rPr>
              <w:t xml:space="preserve">наличием начисленных обязательств по выплате заработной платы и удержанием НДФЛ в декабре 2024 года со сроком выплаты в январе 2025 года. </w:t>
            </w:r>
            <w:r>
              <w:rPr>
                <w:rFonts w:eastAsia="Calibri"/>
                <w:color w:val="000000"/>
                <w:highlight w:val="white"/>
              </w:rPr>
            </w:r>
            <w:r>
              <w:rPr>
                <w:rFonts w:eastAsia="Calibri"/>
                <w:color w:val="000000"/>
                <w:highlight w:val="white"/>
              </w:rPr>
            </w:r>
          </w:p>
        </w:tc>
      </w:tr>
    </w:tbl>
    <w:p>
      <w:pPr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</w:t>
      </w:r>
      <w:r>
        <w:rPr>
          <w:sz w:val="28"/>
          <w:szCs w:val="28"/>
          <w:highlight w:val="white"/>
        </w:rPr>
        <w:t xml:space="preserve">о состоянию на 01.01.2026 года дебиторская задолженность составила 193 536,4 млн. рублей.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Структура дебиторской задолженности: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1 205 00 000 «Расчеты по доходам» – 188 469,5 млн. рублей, из них по счету 1 205 11 000 – 6 635,4 млн. рублей по доходам, администрируемым Управлением федеральной налоговой службы по Оренбургской области;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1 206 00 000 «Расчеты по выданным авансам» – 4 514,6 млн. рублей;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1 208 00 000 «Расчеты с подотчетными лицами» – 3,2 млн. рублей;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1 209 00 000 «Расчеты по ущербу имуществу» – 537,9 млн. рублей;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1 303 00 000 «Расчеты по платежам в бюджеты» – 11,2 млн. рублей;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Сумма просроченной дебиторской задолженности на 01.01.2026 года составляет 2 544,7 млн. рублей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 сравнению с 01.01.2025 размер просроченной дебиторской задолженности увеличился на 431,0 млн. рублей, или на 20,4 процента, </w:t>
      </w:r>
      <w:r>
        <w:rPr>
          <w:sz w:val="28"/>
          <w:szCs w:val="28"/>
          <w:highlight w:val="white"/>
        </w:rPr>
        <w:t xml:space="preserve">р</w:t>
      </w:r>
      <w:r>
        <w:rPr>
          <w:sz w:val="28"/>
          <w:szCs w:val="28"/>
          <w:highlight w:val="white"/>
        </w:rPr>
        <w:t xml:space="preserve">асшифровка прилагается.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По счету 1 205 00 000 «Расчеты по доходам» </w:t>
      </w:r>
      <w:r>
        <w:rPr>
          <w:sz w:val="28"/>
          <w:szCs w:val="28"/>
          <w:highlight w:val="white"/>
        </w:rPr>
        <w:t xml:space="preserve">–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2 247</w:t>
      </w:r>
      <w:r>
        <w:rPr>
          <w:color w:val="000000" w:themeColor="text1"/>
          <w:sz w:val="28"/>
          <w:szCs w:val="28"/>
          <w:highlight w:val="white"/>
        </w:rPr>
        <w:t xml:space="preserve">,4 м</w:t>
      </w:r>
      <w:r>
        <w:rPr>
          <w:color w:val="000000" w:themeColor="text1"/>
          <w:sz w:val="28"/>
          <w:szCs w:val="28"/>
          <w:highlight w:val="white"/>
        </w:rPr>
        <w:t xml:space="preserve">лн. рублей, в том числе: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1 205 11 000 «Расчеты с плательщиками налогов» </w:t>
      </w:r>
      <w:r>
        <w:rPr>
          <w:sz w:val="28"/>
          <w:szCs w:val="28"/>
          <w:highlight w:val="white"/>
        </w:rPr>
        <w:t xml:space="preserve">–  1</w:t>
      </w:r>
      <w:r>
        <w:rPr>
          <w:sz w:val="28"/>
          <w:szCs w:val="28"/>
          <w:highlight w:val="white"/>
        </w:rPr>
        <w:t xml:space="preserve"> 326,1 млн. рублей;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1 205 21 000 «Расчеты по доходам от операционной аренды» </w:t>
      </w:r>
      <w:r>
        <w:rPr>
          <w:sz w:val="28"/>
          <w:szCs w:val="28"/>
          <w:highlight w:val="white"/>
        </w:rPr>
        <w:t xml:space="preserve">– 53,0</w:t>
      </w:r>
      <w:r>
        <w:rPr>
          <w:sz w:val="28"/>
          <w:szCs w:val="28"/>
          <w:highlight w:val="white"/>
        </w:rPr>
        <w:t xml:space="preserve"> млн. рублей (</w:t>
      </w:r>
      <w:r>
        <w:rPr>
          <w:sz w:val="28"/>
          <w:szCs w:val="28"/>
          <w:highlight w:val="white"/>
        </w:rPr>
        <w:t xml:space="preserve">задолженность за нарушение сроков исполнения обязательств по договорам аренды</w:t>
      </w:r>
      <w:r>
        <w:rPr>
          <w:sz w:val="28"/>
          <w:szCs w:val="28"/>
          <w:highlight w:val="white"/>
        </w:rPr>
        <w:t xml:space="preserve"> имущества)</w:t>
      </w:r>
      <w:r>
        <w:rPr>
          <w:sz w:val="28"/>
          <w:szCs w:val="28"/>
          <w:highlight w:val="white"/>
        </w:rPr>
        <w:t xml:space="preserve">;  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7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счету 1 205 23 000 «Расчеты по доходам от платежей при пользовании природными ресурсами» – 271,4 млн. рублей (задолженность за нарушение сро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ков исполнения обязательств по договорам аренды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земель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  <w:lang w:eastAsia="en-US"/>
        </w:rPr>
        <w:t xml:space="preserve">по счету </w:t>
      </w:r>
      <w:r>
        <w:rPr>
          <w:color w:val="000000" w:themeColor="text1"/>
          <w:sz w:val="28"/>
          <w:szCs w:val="28"/>
          <w:highlight w:val="white"/>
          <w:lang w:eastAsia="en-US"/>
        </w:rPr>
        <w:t xml:space="preserve">1 205 </w:t>
      </w:r>
      <w:r>
        <w:rPr>
          <w:color w:val="000000" w:themeColor="text1"/>
          <w:sz w:val="28"/>
          <w:szCs w:val="28"/>
          <w:highlight w:val="white"/>
          <w:lang w:eastAsia="en-US"/>
        </w:rPr>
        <w:t xml:space="preserve">29 000 «Расчеты по иным доходам от                                              собственности» </w:t>
      </w:r>
      <w:r>
        <w:rPr>
          <w:color w:val="000000" w:themeColor="text1"/>
          <w:sz w:val="28"/>
          <w:szCs w:val="28"/>
          <w:highlight w:val="white"/>
        </w:rPr>
        <w:t xml:space="preserve">– 92,2</w:t>
      </w:r>
      <w:r>
        <w:rPr>
          <w:color w:val="000000" w:themeColor="text1"/>
          <w:sz w:val="28"/>
          <w:szCs w:val="28"/>
          <w:highlight w:val="white"/>
          <w:lang w:eastAsia="en-US"/>
        </w:rPr>
        <w:t xml:space="preserve"> млн. ру</w:t>
      </w:r>
      <w:r>
        <w:rPr>
          <w:sz w:val="28"/>
          <w:szCs w:val="28"/>
          <w:highlight w:val="white"/>
          <w:lang w:eastAsia="en-US"/>
        </w:rPr>
        <w:t xml:space="preserve">блей (задолженность </w:t>
      </w:r>
      <w:r>
        <w:rPr>
          <w:sz w:val="28"/>
          <w:szCs w:val="28"/>
          <w:highlight w:val="white"/>
          <w:lang w:eastAsia="en-US"/>
        </w:rPr>
        <w:t xml:space="preserve">рекламораспространителей</w:t>
      </w:r>
      <w:r>
        <w:rPr>
          <w:sz w:val="28"/>
          <w:szCs w:val="28"/>
          <w:highlight w:val="white"/>
          <w:lang w:eastAsia="en-US"/>
        </w:rPr>
        <w:t xml:space="preserve"> за право размещения рекламных конструкций);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1 205 2К 000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Расчеты по доходам от концессионной платы</w:t>
      </w:r>
      <w:r>
        <w:rPr>
          <w:sz w:val="28"/>
          <w:szCs w:val="28"/>
          <w:highlight w:val="white"/>
        </w:rPr>
        <w:t xml:space="preserve">» – 4,4 млн. рублей (задолженность по концессионной плате предприятий жилищно-коммунального комплекса,</w:t>
      </w:r>
      <w:r>
        <w:rPr>
          <w:rFonts w:eastAsia="Arial"/>
          <w:sz w:val="28"/>
          <w:szCs w:val="28"/>
          <w:highlight w:val="white"/>
        </w:rPr>
        <w:t xml:space="preserve"> ведется досудебная претензионная работа)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1 205 31 000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Расчеты по доходам от оказания платных услуг (работ)</w:t>
      </w:r>
      <w:r>
        <w:rPr>
          <w:sz w:val="28"/>
          <w:szCs w:val="28"/>
          <w:highlight w:val="white"/>
        </w:rPr>
        <w:t xml:space="preserve">» – 0,1 млн. рублей;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1 205 35 000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Расчеты по условным арендным платежам</w:t>
      </w:r>
      <w:r>
        <w:rPr>
          <w:sz w:val="28"/>
          <w:szCs w:val="28"/>
          <w:highlight w:val="white"/>
        </w:rPr>
        <w:t xml:space="preserve">» –                   0,1 млн. рублей (задолженность по возмещению коммунальных услуг по арендуемым помещениям);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1 205 41 000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Расчеты по доходам от штрафных санкций за нарушение законодательства о закупках</w:t>
      </w:r>
      <w:r>
        <w:rPr>
          <w:sz w:val="28"/>
          <w:szCs w:val="28"/>
          <w:highlight w:val="white"/>
        </w:rPr>
        <w:t xml:space="preserve">» – 0,1 млн. рубле</w:t>
      </w:r>
      <w:r>
        <w:rPr>
          <w:sz w:val="28"/>
          <w:szCs w:val="28"/>
          <w:highlight w:val="white"/>
        </w:rPr>
        <w:t xml:space="preserve">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1 205 44 000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Расчеты по доходам от возмещения ущерба имуществу (за исключением страховых возмещений)</w:t>
      </w:r>
      <w:r>
        <w:rPr>
          <w:sz w:val="28"/>
          <w:szCs w:val="28"/>
          <w:highlight w:val="white"/>
        </w:rPr>
        <w:t xml:space="preserve">» – 41,9 млн. рублей, в том числе 26,3 млн. рублей задолженность по искам, предъявленным ТФОМС Оренбургской области к лицам, ответственным за причинение вреда здоровью застрахованного лица, в целях возмещения расходов на оказание медицинской помощи;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 счету 1 205 45 000 «Расчеты по доходам от прочих сумм принудительного изъятия» – 426,6 млн. рублей (задолженность по штрафам, а</w:t>
      </w:r>
      <w:r>
        <w:rPr>
          <w:sz w:val="28"/>
          <w:szCs w:val="28"/>
          <w:highlight w:val="white"/>
        </w:rPr>
        <w:t xml:space="preserve">дминистрируемым главными администраторами доходов и неисполненные должниками финансовые санкции, предъявленные Территориальным фондом обязательного медицинского страхования Оренбургской области медицинским организациям по результатам проведенных проверок);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счету 1 205 51 000 «Р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асчеты по поступлениям текущего характера от других бюджетов бюджетной системы Российской Федерации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ь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Ф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С,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межтерриториальные расчеты по выставленным счетам);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 счету 1 205 55 000 «</w:t>
      </w:r>
      <w:r>
        <w:rPr>
          <w:rFonts w:ascii="Times New Roman" w:hAnsi="Times New Roman" w:eastAsia="Times New Roman" w:cs="Times New Roman" w:eastAsiaTheme="minorHAnsi"/>
          <w:color w:val="000000" w:themeColor="text1"/>
          <w:sz w:val="28"/>
          <w:szCs w:val="28"/>
          <w:highlight w:val="white"/>
          <w:lang w:eastAsia="en-US"/>
        </w:rPr>
        <w:t xml:space="preserve">Расчеты по поступлениям текущего характера от иных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резидентов (за исключением сектора государственного управления и организаций государственного сектора)</w:t>
      </w:r>
      <w:r>
        <w:rPr>
          <w:sz w:val="28"/>
          <w:szCs w:val="28"/>
          <w:highlight w:val="white"/>
        </w:rPr>
        <w:t xml:space="preserve">» – 11,6 млн. рублей (задолженность по возврату средств, выданных в виде государственной гарантии, в связи с нарушением сроков исполнения мирового соглашения);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1 205 71 000 «Расчеты по доходам от операций с основными средствами» – 16,5 млн. рублей (задолженность по договорам купли-продажи недвижимого имущества);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1 205 73 000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Расчеты по доходам от операций с непроизведенными активами</w:t>
      </w:r>
      <w:r>
        <w:rPr>
          <w:sz w:val="28"/>
          <w:szCs w:val="28"/>
          <w:highlight w:val="white"/>
        </w:rPr>
        <w:t xml:space="preserve">» – 2,1 млн. рублей (задолженность по договорам купли-продажи земельного участка);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1 205 74 000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Расчеты по доходам от операций с материальными запасами</w:t>
      </w:r>
      <w:r>
        <w:rPr>
          <w:sz w:val="28"/>
          <w:szCs w:val="28"/>
          <w:highlight w:val="white"/>
        </w:rPr>
        <w:t xml:space="preserve">» – 0,3 млн. рублей (задолженность по договорам купли-продажи лома черных металлов);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1 205 89 000 «Расчеты по иным доходам» </w:t>
      </w:r>
      <w:r>
        <w:rPr>
          <w:sz w:val="28"/>
          <w:szCs w:val="28"/>
          <w:highlight w:val="white"/>
        </w:rPr>
        <w:t xml:space="preserve">–</w:t>
      </w:r>
      <w:r>
        <w:rPr>
          <w:sz w:val="28"/>
          <w:szCs w:val="28"/>
          <w:highlight w:val="white"/>
        </w:rPr>
        <w:t xml:space="preserve"> 0,5 млн. рублей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1 209 00 000 «Расчеты по ущербу и иным доходам» </w:t>
      </w:r>
      <w:r>
        <w:rPr>
          <w:sz w:val="28"/>
          <w:szCs w:val="28"/>
          <w:highlight w:val="white"/>
        </w:rPr>
        <w:t xml:space="preserve">–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</w:t>
      </w:r>
      <w:r>
        <w:rPr>
          <w:sz w:val="28"/>
          <w:szCs w:val="28"/>
          <w:highlight w:val="white"/>
        </w:rPr>
        <w:t xml:space="preserve">9</w:t>
      </w:r>
      <w:r>
        <w:rPr>
          <w:sz w:val="28"/>
          <w:szCs w:val="28"/>
          <w:highlight w:val="white"/>
        </w:rPr>
        <w:t xml:space="preserve">7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3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</w:t>
      </w:r>
      <w:r>
        <w:rPr>
          <w:sz w:val="28"/>
          <w:szCs w:val="28"/>
          <w:highlight w:val="white"/>
        </w:rPr>
        <w:t xml:space="preserve">л</w:t>
      </w:r>
      <w:r>
        <w:rPr>
          <w:sz w:val="28"/>
          <w:szCs w:val="28"/>
          <w:highlight w:val="white"/>
        </w:rPr>
        <w:t xml:space="preserve">н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</w:t>
      </w:r>
      <w:r>
        <w:rPr>
          <w:sz w:val="28"/>
          <w:szCs w:val="28"/>
          <w:highlight w:val="white"/>
        </w:rPr>
        <w:t xml:space="preserve">у</w:t>
      </w:r>
      <w:r>
        <w:rPr>
          <w:sz w:val="28"/>
          <w:szCs w:val="28"/>
          <w:highlight w:val="white"/>
        </w:rPr>
        <w:t xml:space="preserve">б</w:t>
      </w:r>
      <w:r>
        <w:rPr>
          <w:sz w:val="28"/>
          <w:szCs w:val="28"/>
          <w:highlight w:val="white"/>
        </w:rPr>
        <w:t xml:space="preserve">л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й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</w:t>
      </w:r>
      <w:r>
        <w:rPr>
          <w:sz w:val="28"/>
          <w:szCs w:val="28"/>
          <w:highlight w:val="white"/>
        </w:rPr>
        <w:t xml:space="preserve">о</w:t>
      </w:r>
      <w:r>
        <w:rPr>
          <w:sz w:val="28"/>
          <w:szCs w:val="28"/>
          <w:highlight w:val="white"/>
        </w:rPr>
        <w:t xml:space="preserve">м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ч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с</w:t>
      </w:r>
      <w:r>
        <w:rPr>
          <w:sz w:val="28"/>
          <w:szCs w:val="28"/>
          <w:highlight w:val="white"/>
        </w:rPr>
        <w:t xml:space="preserve">л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1 209 34 000 «Расчеты по доходам от компенсации затрат» –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167,7 млн. рублей (задолженность прошлых лет по ожидаемым доходам по судебным решениям, вступившим в законную силу, возмещение по исполнительным листам от нанесенного имущественного вреда);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 1 209 36 000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Расчеты по доходам бюджета от возврата дебиторской задолженности прошлых лет</w:t>
      </w:r>
      <w:r>
        <w:rPr>
          <w:sz w:val="28"/>
          <w:szCs w:val="28"/>
          <w:highlight w:val="white"/>
        </w:rPr>
        <w:t xml:space="preserve">» – 64,5 млн. рублей (задолженность по возврату авансовых платежей по расторгнутым контрактам);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1 209 41 000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Расчеты по доходам от штрафных санкций» </w:t>
      </w:r>
      <w:r>
        <w:rPr>
          <w:sz w:val="28"/>
          <w:szCs w:val="28"/>
          <w:highlight w:val="white"/>
        </w:rPr>
        <w:t xml:space="preserve">–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rFonts w:eastAsiaTheme="minorHAnsi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48,7 млн. рублей (задолженность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за нарушение условий выполнения контрактов</w:t>
      </w:r>
      <w:r>
        <w:rPr>
          <w:rFonts w:eastAsia="Arial"/>
          <w:color w:val="000000"/>
          <w:sz w:val="28"/>
          <w:szCs w:val="28"/>
          <w:highlight w:val="white"/>
        </w:rPr>
        <w:t xml:space="preserve">)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;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1 209 44 000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Расчеты по доходам от возмещения ущерба имуществу (за исключением страховых возмещений)» </w:t>
      </w:r>
      <w:r>
        <w:rPr>
          <w:sz w:val="28"/>
          <w:szCs w:val="28"/>
          <w:highlight w:val="white"/>
        </w:rPr>
        <w:t xml:space="preserve">– 7,7 млн. рублей (задолженность за возмещение ущерба физическими лицами);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 счету 1 209 45 000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Расчеты по доходам от прочих сумм принудительного изъятия</w:t>
      </w:r>
      <w:r>
        <w:rPr>
          <w:sz w:val="28"/>
          <w:szCs w:val="28"/>
          <w:highlight w:val="white"/>
        </w:rPr>
        <w:t xml:space="preserve">» – 8,4 млн. рублей (задолженность по судебным решениям и проведением процедуры принудительного взыскания);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 счету 1 209 71 000 «по счету 1 209 45 000 «Р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асчеты по ущербу основным средствам</w:t>
      </w:r>
      <w:r>
        <w:rPr>
          <w:sz w:val="28"/>
          <w:szCs w:val="28"/>
          <w:highlight w:val="white"/>
        </w:rPr>
        <w:t xml:space="preserve"> – 0,3 млн. рублей (задолженность по судебным решениям и проведением процедуры принудительного взыскания);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1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состоянию на 01.01.2026 года кредиторская задолженность составила 3 357,3 </w:t>
      </w:r>
      <w:r>
        <w:rPr>
          <w:sz w:val="28"/>
          <w:szCs w:val="28"/>
          <w:highlight w:val="white"/>
        </w:rPr>
        <w:t xml:space="preserve">млн. рублей. По сравнению с 01.01.2025 размер кредиторской задолженности уменьшился на 2 643,3 млн. рублей, или на 44,0 процента.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Структура кредиторской задолженности: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1 205 00 000 «Расчеты по доходам» – 722,5 млн. рублей, из них по счету 1 205 11 000 – 619,1 </w:t>
      </w:r>
      <w:r>
        <w:rPr>
          <w:sz w:val="28"/>
          <w:szCs w:val="28"/>
          <w:highlight w:val="white"/>
        </w:rPr>
        <w:t xml:space="preserve">млн. рублей по доходам, администрируемым Управлением федеральной налоговой службы по Оренбургской области в результате излишне уплаченных налогов, уплаты авансовых платежей по налогам и представлении налогоплательщиками уточненных деклараций к уменьшению;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1 208 00 000 «Расчеты с подотчетными лицами» – 0,6 млн. рублей;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1 209 00 000 «Расчеты по ущербу имуществу» – 6,0 млн. рублей;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1 302 00 000 «Расчеты по принятым обязательствам» –                     2 027,9 млн. рублей, в том числе по счету 1 302 75 000 (классификация ИФДБ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01 06 10 02 02 0005 550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) – задолженность по возврату средств с единого счета </w:t>
      </w:r>
      <w:r>
        <w:rPr>
          <w:sz w:val="28"/>
          <w:szCs w:val="28"/>
          <w:highlight w:val="white"/>
        </w:rPr>
        <w:t xml:space="preserve">бю</w:t>
      </w:r>
      <w:r>
        <w:rPr>
          <w:sz w:val="28"/>
          <w:szCs w:val="28"/>
          <w:highlight w:val="white"/>
        </w:rPr>
        <w:t xml:space="preserve">джета в результате </w:t>
      </w:r>
      <w:r>
        <w:rPr>
          <w:sz w:val="28"/>
          <w:szCs w:val="28"/>
          <w:highlight w:val="white"/>
          <w:lang w:eastAsia="en-US"/>
        </w:rPr>
        <w:t xml:space="preserve">привлечения остатков средств на казначейс</w:t>
      </w:r>
      <w:r>
        <w:rPr>
          <w:sz w:val="28"/>
          <w:szCs w:val="28"/>
          <w:highlight w:val="white"/>
          <w:lang w:eastAsia="en-US"/>
        </w:rPr>
        <w:t xml:space="preserve">ких счетах для осуществления и отражения операций с денежными средствами участников казначейского сопровождения, открытых финансовому органу субъекта Российской Федерации, составила 615,0 млн. рублей.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1 303 00 000 «Расчеты по платежам в бюджеты» – 599,0 млн. рублей</w:t>
      </w:r>
      <w:r>
        <w:rPr>
          <w:sz w:val="28"/>
          <w:szCs w:val="28"/>
          <w:highlight w:val="white"/>
          <w:lang w:eastAsia="en-US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счету 1 304 00 000 «Прочие расчеты с кредиторами» – 1,3 млн. рублей.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en-US"/>
        </w:rPr>
        <w:t xml:space="preserve">Просроченная кредиторская задолженность отсутствует.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en-US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rFonts w:eastAsiaTheme="minorHAnsi"/>
          <w:i/>
          <w:sz w:val="28"/>
          <w:szCs w:val="28"/>
          <w:highlight w:val="white"/>
        </w:rPr>
      </w:pPr>
      <w:r>
        <w:rPr>
          <w:rFonts w:eastAsiaTheme="minorHAnsi"/>
          <w:i/>
          <w:sz w:val="28"/>
          <w:szCs w:val="28"/>
          <w:highlight w:val="white"/>
          <w:lang w:eastAsia="en-US"/>
        </w:rPr>
        <w:t xml:space="preserve">Отчет </w:t>
      </w:r>
      <w:hyperlink r:id="rId15" w:tooltip="consultantplus://offline/ref=A1FBB1332324664B6A07FBFE564E33F79515F15EE49137FC6D9821CF1725418FB4675691092859ECBE555F8F5F0BA4784706EC0E7BD9OA23J" w:history="1">
        <w:r>
          <w:rPr>
            <w:rFonts w:eastAsiaTheme="minorHAnsi"/>
            <w:i/>
            <w:sz w:val="28"/>
            <w:szCs w:val="28"/>
            <w:highlight w:val="white"/>
            <w:lang w:eastAsia="en-US"/>
          </w:rPr>
          <w:t xml:space="preserve">ф. 0503371</w:t>
        </w:r>
      </w:hyperlink>
      <w:r>
        <w:rPr>
          <w:rFonts w:eastAsiaTheme="minorHAnsi"/>
          <w:i/>
          <w:sz w:val="28"/>
          <w:szCs w:val="28"/>
          <w:highlight w:val="white"/>
          <w:lang w:eastAsia="en-US"/>
        </w:rPr>
        <w:t xml:space="preserve"> «Сведения о финансовых вложениях» </w:t>
      </w:r>
      <w:r>
        <w:rPr>
          <w:rFonts w:eastAsiaTheme="minorHAnsi"/>
          <w:i/>
          <w:sz w:val="28"/>
          <w:szCs w:val="28"/>
          <w:highlight w:val="white"/>
        </w:rPr>
      </w:r>
      <w:r>
        <w:rPr>
          <w:rFonts w:eastAsiaTheme="minorHAnsi"/>
          <w:i/>
          <w:sz w:val="28"/>
          <w:szCs w:val="28"/>
          <w:highlight w:val="white"/>
        </w:rPr>
      </w:r>
    </w:p>
    <w:p>
      <w:pPr>
        <w:jc w:val="both"/>
        <w:rPr>
          <w:rFonts w:eastAsiaTheme="minorHAnsi"/>
          <w:i/>
          <w:sz w:val="28"/>
          <w:szCs w:val="28"/>
          <w:highlight w:val="white"/>
        </w:rPr>
      </w:pPr>
      <w:r>
        <w:rPr>
          <w:rFonts w:eastAsiaTheme="minorHAnsi"/>
          <w:i/>
          <w:sz w:val="28"/>
          <w:szCs w:val="28"/>
          <w:highlight w:val="white"/>
          <w:lang w:eastAsia="en-US"/>
        </w:rPr>
      </w:r>
      <w:r>
        <w:rPr>
          <w:rFonts w:eastAsiaTheme="minorHAnsi"/>
          <w:i/>
          <w:sz w:val="28"/>
          <w:szCs w:val="28"/>
          <w:highlight w:val="white"/>
        </w:rPr>
      </w:r>
      <w:r>
        <w:rPr>
          <w:rFonts w:eastAsiaTheme="minorHAnsi"/>
          <w:i/>
          <w:sz w:val="28"/>
          <w:szCs w:val="28"/>
          <w:highlight w:val="white"/>
        </w:rPr>
      </w:r>
    </w:p>
    <w:p>
      <w:pPr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ab/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Расшифровка показателей по счетам 1 204 31 000, 1 204 32 000, 1 215 31 000, 1 215 32 000, сумма остатков по которым составила более 1 млрд. рублей, прилагается.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    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jc w:val="both"/>
        <w:rPr>
          <w:rFonts w:eastAsiaTheme="minorHAnsi"/>
          <w:sz w:val="28"/>
          <w:szCs w:val="28"/>
          <w:highlight w:val="white"/>
          <w:lang w:eastAsia="en-US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</w:r>
      <w:r>
        <w:rPr>
          <w:rFonts w:eastAsiaTheme="minorHAnsi"/>
          <w:sz w:val="28"/>
          <w:szCs w:val="28"/>
          <w:highlight w:val="white"/>
          <w:lang w:eastAsia="en-US"/>
        </w:rPr>
      </w:r>
    </w:p>
    <w:p>
      <w:pPr>
        <w:ind w:firstLine="708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С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чет 1 204 31 000 «Акции»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tbl>
      <w:tblPr>
        <w:tblStyle w:val="892"/>
        <w:tblW w:w="0" w:type="auto"/>
        <w:tblLayout w:type="fixed"/>
        <w:tblLook w:val="04A0" w:firstRow="1" w:lastRow="0" w:firstColumn="1" w:lastColumn="0" w:noHBand="0" w:noVBand="1"/>
      </w:tblPr>
      <w:tblGrid>
        <w:gridCol w:w="4677"/>
        <w:gridCol w:w="2126"/>
        <w:gridCol w:w="26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4677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white"/>
              </w:rPr>
              <w:t xml:space="preserve">Наименование организации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white"/>
              </w:rPr>
              <w:t xml:space="preserve">ИНН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white"/>
              </w:rPr>
              <w:t xml:space="preserve">Сумма вложений, рублей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</w:tr>
    </w:tbl>
    <w:tbl>
      <w:tblPr>
        <w:tblW w:w="94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2130"/>
        <w:gridCol w:w="2693"/>
      </w:tblGrid>
      <w:tr>
        <w:tblPrEx/>
        <w:trPr>
          <w:tblHeader/>
        </w:trPr>
        <w:tc>
          <w:tcPr>
            <w:shd w:val="clear" w:color="ffffff" w:fill="ffffff"/>
            <w:tcW w:w="4673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ООО «ОРИФА»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5610066379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550 000 000,00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Новосергиевский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 элеватор»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5636002901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20 641,00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«ОГЛК»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5610225580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1 395 442 000,00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22"/>
        </w:trPr>
        <w:tc>
          <w:tcPr>
            <w:shd w:val="clear" w:color="ffffff" w:fill="ffffff"/>
            <w:tcW w:w="4673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Оренбургремдорстрой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5610255506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vMerge w:val="restart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2 832 221 000,00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22"/>
        </w:trPr>
        <w:tc>
          <w:tcPr>
            <w:shd w:val="clear" w:color="ffffff" w:fill="ffffff"/>
            <w:tcW w:w="4673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«РИА «Оренбуржье»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5609207177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vMerge w:val="restart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92 788 000,00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«НЦЗ»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5607004870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8 480,00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«Газпром Газораспределение Оренбург»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5610010369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5 437,00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222"/>
        </w:trPr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«ЮУНГ»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5638016522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30 353 000,00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ОАО «ОИЖК»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5610048933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4 815 000,00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ОАО 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Оренбургуголь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5650004160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24 976 067,08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«ОЭЗ ППТ «Оренбуржье»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5609195877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14 415 000,00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ООО «Производственный комбинат»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5610151151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88 200,00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ОАО «НППЖТ»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5607041180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28 376 000,00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«Южное РТП»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5610128385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68 013 900,00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Оренбургкоммунэлектросеть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5610247047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5 579 421 000,00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«Банк Оренбург»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5612031491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2 616 121 268,00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ТВЦ  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Планета»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5610011193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300 000,00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«СЗ «Сельский дом»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5610061613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2 167 011 000,00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АО «Санаторий «Дубовая роща»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5638040123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vMerge w:val="restart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18 767 100,00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ПАО «РОССЕТИ»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4716016979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vMerge w:val="restart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840,50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ПАО «ЭЛ5-ЭНЕРГО»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6671156423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vMerge w:val="restart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41,00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ПАО «ОГК-2»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2607018122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vMerge w:val="restart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35,55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ПАО «ТГК-2»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7841312071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vMerge w:val="restart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38,23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ПАО «МОСЭНЕРГО»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7705035012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vMerge w:val="restart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33,00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ПАО «ТГК-2»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3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7606053324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vMerge w:val="restart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white"/>
              </w:rPr>
              <w:t xml:space="preserve">12,98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ffffff" w:fill="ffffff"/>
            <w:tcW w:w="680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white"/>
              </w:rPr>
              <w:t xml:space="preserve">Итого по бюджету субъекта: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white"/>
              </w:rPr>
              <w:t xml:space="preserve">15 423 144 094,34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r>
          </w:p>
        </w:tc>
      </w:tr>
    </w:tbl>
    <w:tbl>
      <w:tblPr>
        <w:tblW w:w="94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673"/>
        <w:gridCol w:w="2127"/>
        <w:gridCol w:w="26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4673" w:type="dxa"/>
            <w:vAlign w:val="bottom"/>
            <w:textDirection w:val="lrTb"/>
            <w:noWrap w:val="false"/>
          </w:tcPr>
          <w:p>
            <w:pPr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АО «СЗ «Управление капитального строительства»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21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5611066607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  <w:p>
            <w:pPr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96 095 157,00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  <w:p>
            <w:pPr>
              <w:jc w:val="right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4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4673" w:type="dxa"/>
            <w:vAlign w:val="bottom"/>
            <w:textDirection w:val="lrTb"/>
            <w:noWrap w:val="false"/>
          </w:tcPr>
          <w:p>
            <w:pP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ОАО «</w:t>
            </w:r>
            <w:r>
              <w:rPr>
                <w:sz w:val="28"/>
                <w:szCs w:val="28"/>
                <w:highlight w:val="white"/>
              </w:rPr>
              <w:t xml:space="preserve">Бузулукбанк</w:t>
            </w:r>
            <w:r>
              <w:rPr>
                <w:sz w:val="28"/>
                <w:szCs w:val="28"/>
                <w:highlight w:val="white"/>
              </w:rPr>
              <w:t xml:space="preserve">»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212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bCs/>
                <w:color w:val="333333"/>
                <w:sz w:val="28"/>
                <w:szCs w:val="28"/>
                <w:highlight w:val="white"/>
                <w:shd w:val="clear" w:color="auto" w:fill="ffffff"/>
              </w:rPr>
              <w:t xml:space="preserve">5603009098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8 566 031,25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4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4673" w:type="dxa"/>
            <w:vAlign w:val="bottom"/>
            <w:textDirection w:val="lrTb"/>
            <w:noWrap w:val="false"/>
          </w:tcPr>
          <w:p>
            <w:pPr>
              <w:jc w:val="both"/>
              <w:rPr>
                <w:b/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 xml:space="preserve">Итого по местным бюджетам:</w:t>
            </w:r>
            <w:r>
              <w:rPr>
                <w:b/>
                <w:sz w:val="28"/>
                <w:szCs w:val="28"/>
                <w:highlight w:val="white"/>
              </w:rPr>
            </w:r>
            <w:r>
              <w:rPr>
                <w:b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2127" w:type="dxa"/>
            <w:vAlign w:val="bottom"/>
            <w:textDirection w:val="lrTb"/>
            <w:noWrap/>
          </w:tcPr>
          <w:p>
            <w:pPr>
              <w:jc w:val="right"/>
              <w:rPr>
                <w:b/>
                <w:bCs/>
                <w:color w:val="333333"/>
                <w:sz w:val="28"/>
                <w:szCs w:val="28"/>
                <w:highlight w:val="white"/>
                <w:shd w:val="clear" w:color="auto" w:fill="ffffff"/>
              </w:rPr>
            </w:pPr>
            <w:r>
              <w:rPr>
                <w:b/>
                <w:bCs/>
                <w:color w:val="333333"/>
                <w:sz w:val="28"/>
                <w:szCs w:val="28"/>
                <w:highlight w:val="white"/>
                <w:shd w:val="clear" w:color="auto" w:fill="ffffff"/>
              </w:rPr>
            </w:r>
            <w:r>
              <w:rPr>
                <w:b/>
                <w:bCs/>
                <w:color w:val="333333"/>
                <w:sz w:val="28"/>
                <w:szCs w:val="28"/>
                <w:highlight w:val="white"/>
                <w:shd w:val="clear" w:color="auto" w:fill="ffffff"/>
              </w:rPr>
            </w:r>
            <w:r>
              <w:rPr>
                <w:b/>
                <w:bCs/>
                <w:color w:val="333333"/>
                <w:sz w:val="28"/>
                <w:szCs w:val="28"/>
                <w:highlight w:val="white"/>
                <w:shd w:val="clear" w:color="auto" w:fill="ffffff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bottom"/>
            <w:textDirection w:val="lrTb"/>
            <w:noWrap w:val="false"/>
          </w:tcPr>
          <w:p>
            <w:pPr>
              <w:jc w:val="right"/>
              <w:rPr>
                <w:b/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 xml:space="preserve">104 661 188,25</w:t>
            </w:r>
            <w:r>
              <w:rPr>
                <w:b/>
                <w:sz w:val="28"/>
                <w:szCs w:val="28"/>
                <w:highlight w:val="white"/>
              </w:rPr>
            </w:r>
            <w:r>
              <w:rPr>
                <w:b/>
                <w:sz w:val="28"/>
                <w:szCs w:val="28"/>
                <w:highlight w:val="white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9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4673" w:type="dxa"/>
            <w:vAlign w:val="bottom"/>
            <w:textDirection w:val="lrTb"/>
            <w:noWrap w:val="false"/>
          </w:tcPr>
          <w:p>
            <w:pPr>
              <w:rPr>
                <w:b/>
                <w:color w:val="000000"/>
                <w:sz w:val="28"/>
                <w:szCs w:val="28"/>
                <w:highlight w:val="white"/>
              </w:rPr>
            </w:pPr>
            <w:r>
              <w:rPr>
                <w:b/>
                <w:color w:val="000000"/>
                <w:sz w:val="28"/>
                <w:szCs w:val="28"/>
                <w:highlight w:val="white"/>
              </w:rPr>
              <w:t xml:space="preserve">ВСЕГО</w:t>
            </w:r>
            <w:r>
              <w:rPr>
                <w:b/>
                <w:color w:val="000000"/>
                <w:sz w:val="28"/>
                <w:szCs w:val="28"/>
                <w:highlight w:val="white"/>
              </w:rPr>
            </w:r>
            <w:r>
              <w:rPr>
                <w:b/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W w:w="2127" w:type="dxa"/>
            <w:vAlign w:val="bottom"/>
            <w:textDirection w:val="lrTb"/>
            <w:noWrap/>
          </w:tcPr>
          <w:p>
            <w:pPr>
              <w:rPr>
                <w:b/>
                <w:color w:val="000000"/>
                <w:sz w:val="28"/>
                <w:szCs w:val="28"/>
                <w:highlight w:val="white"/>
              </w:rPr>
            </w:pPr>
            <w:r>
              <w:rPr>
                <w:b/>
                <w:color w:val="000000"/>
                <w:sz w:val="28"/>
                <w:szCs w:val="28"/>
                <w:highlight w:val="white"/>
              </w:rPr>
            </w:r>
            <w:r>
              <w:rPr>
                <w:b/>
                <w:color w:val="000000"/>
                <w:sz w:val="28"/>
                <w:szCs w:val="28"/>
                <w:highlight w:val="white"/>
              </w:rPr>
            </w:r>
            <w:r>
              <w:rPr>
                <w:b/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6" w:type="dxa"/>
            <w:vAlign w:val="bottom"/>
            <w:textDirection w:val="lrTb"/>
            <w:noWrap w:val="false"/>
          </w:tcPr>
          <w:p>
            <w:pPr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8"/>
                <w:szCs w:val="28"/>
                <w:highlight w:val="white"/>
                <w:u w:val="none"/>
              </w:rPr>
              <w:t xml:space="preserve">15 527 805 282,59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708"/>
        <w:jc w:val="both"/>
        <w:rPr>
          <w:rFonts w:eastAsiaTheme="minorHAnsi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</w:r>
      <w:r>
        <w:rPr>
          <w:rFonts w:eastAsiaTheme="minorHAnsi"/>
          <w:highlight w:val="white"/>
        </w:rPr>
      </w:r>
      <w:r>
        <w:rPr>
          <w:rFonts w:eastAsiaTheme="minorHAnsi"/>
          <w:highlight w:val="white"/>
        </w:rPr>
      </w:r>
    </w:p>
    <w:p>
      <w:pPr>
        <w:ind w:firstLine="708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С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чет 1 2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15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3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2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 000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Вложения в государственные (муниципальные) предприятия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»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tbl>
      <w:tblPr>
        <w:tblW w:w="94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673"/>
        <w:gridCol w:w="2127"/>
        <w:gridCol w:w="2696"/>
      </w:tblGrid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jc w:val="center"/>
              <w:rPr>
                <w:b w:val="0"/>
                <w:bCs w:val="0"/>
                <w:sz w:val="28"/>
                <w:szCs w:val="28"/>
                <w:highlight w:val="white"/>
              </w:rPr>
            </w:pPr>
            <w:r>
              <w:rPr>
                <w:b w:val="0"/>
                <w:bCs w:val="0"/>
                <w:sz w:val="28"/>
                <w:szCs w:val="28"/>
                <w:highlight w:val="white"/>
              </w:rPr>
              <w:t xml:space="preserve">Наименование организации</w:t>
            </w:r>
            <w:r>
              <w:rPr>
                <w:b w:val="0"/>
                <w:bCs w:val="0"/>
                <w:sz w:val="28"/>
                <w:szCs w:val="28"/>
                <w:highlight w:val="white"/>
              </w:rPr>
            </w:r>
            <w:r>
              <w:rPr>
                <w:b w:val="0"/>
                <w:bCs w:val="0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27" w:type="dxa"/>
            <w:textDirection w:val="lrTb"/>
            <w:noWrap w:val="false"/>
          </w:tcPr>
          <w:p>
            <w:pPr>
              <w:contextualSpacing/>
              <w:jc w:val="center"/>
              <w:rPr>
                <w:b w:val="0"/>
                <w:bCs w:val="0"/>
                <w:sz w:val="28"/>
                <w:szCs w:val="28"/>
                <w:highlight w:val="white"/>
              </w:rPr>
            </w:pPr>
            <w:r>
              <w:rPr>
                <w:b w:val="0"/>
                <w:bCs w:val="0"/>
                <w:sz w:val="28"/>
                <w:szCs w:val="28"/>
                <w:highlight w:val="white"/>
              </w:rPr>
              <w:t xml:space="preserve">ИНН</w:t>
            </w:r>
            <w:r>
              <w:rPr>
                <w:b w:val="0"/>
                <w:bCs w:val="0"/>
                <w:sz w:val="28"/>
                <w:szCs w:val="28"/>
                <w:highlight w:val="white"/>
              </w:rPr>
            </w:r>
            <w:r>
              <w:rPr>
                <w:b w:val="0"/>
                <w:bCs w:val="0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6" w:type="dxa"/>
            <w:textDirection w:val="lrTb"/>
            <w:noWrap w:val="false"/>
          </w:tcPr>
          <w:p>
            <w:pPr>
              <w:contextualSpacing/>
              <w:jc w:val="center"/>
              <w:rPr>
                <w:b w:val="0"/>
                <w:bCs w:val="0"/>
                <w:sz w:val="28"/>
                <w:szCs w:val="28"/>
                <w:highlight w:val="white"/>
              </w:rPr>
            </w:pPr>
            <w:r>
              <w:rPr>
                <w:b w:val="0"/>
                <w:bCs w:val="0"/>
                <w:sz w:val="28"/>
                <w:szCs w:val="28"/>
                <w:highlight w:val="white"/>
              </w:rPr>
              <w:t xml:space="preserve">Сумма вложений, рублей</w:t>
            </w:r>
            <w:r>
              <w:rPr>
                <w:b w:val="0"/>
                <w:bCs w:val="0"/>
                <w:sz w:val="28"/>
                <w:szCs w:val="28"/>
                <w:highlight w:val="white"/>
              </w:rPr>
            </w:r>
            <w:r>
              <w:rPr>
                <w:b w:val="0"/>
                <w:bCs w:val="0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W w:w="4673" w:type="dxa"/>
            <w:textDirection w:val="lrTb"/>
            <w:noWrap w:val="false"/>
          </w:tcPr>
          <w:p>
            <w:pPr>
              <w:contextualSpacing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Соль-</w:t>
            </w:r>
            <w:r>
              <w:rPr>
                <w:sz w:val="28"/>
                <w:szCs w:val="28"/>
                <w:highlight w:val="white"/>
              </w:rPr>
              <w:t xml:space="preserve">Илецкое</w:t>
            </w:r>
            <w:r>
              <w:rPr>
                <w:sz w:val="28"/>
                <w:szCs w:val="28"/>
                <w:highlight w:val="white"/>
              </w:rPr>
              <w:t xml:space="preserve"> многоотраслевое производственное предприятие жилищно-коммунального хозяйства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127" w:type="dxa"/>
            <w:textDirection w:val="lrTb"/>
            <w:noWrap w:val="false"/>
          </w:tcPr>
          <w:p>
            <w:pPr>
              <w:contextualSpacing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5646000558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W w:w="2696" w:type="dxa"/>
            <w:textDirection w:val="lrTb"/>
            <w:noWrap w:val="false"/>
          </w:tcPr>
          <w:p>
            <w:pPr>
              <w:contextualSpacing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  <w:t xml:space="preserve">1 500 108 824,09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ind w:firstLine="540"/>
        <w:jc w:val="both"/>
        <w:rPr>
          <w:rFonts w:eastAsiaTheme="minorHAnsi"/>
          <w:bCs/>
          <w:i/>
          <w:sz w:val="28"/>
          <w:szCs w:val="28"/>
          <w:highlight w:val="white"/>
        </w:rPr>
      </w:pPr>
      <w:r>
        <w:rPr>
          <w:rFonts w:eastAsiaTheme="minorHAnsi"/>
          <w:i/>
          <w:iCs/>
          <w:sz w:val="28"/>
          <w:szCs w:val="28"/>
          <w:highlight w:val="white"/>
          <w:lang w:eastAsia="en-US"/>
        </w:rPr>
      </w:r>
      <w:r>
        <w:rPr>
          <w:rFonts w:eastAsiaTheme="minorHAnsi"/>
          <w:bCs/>
          <w:i/>
          <w:sz w:val="28"/>
          <w:szCs w:val="28"/>
          <w:highlight w:val="white"/>
        </w:rPr>
      </w:r>
      <w:r>
        <w:rPr>
          <w:rFonts w:eastAsiaTheme="minorHAnsi"/>
          <w:bCs/>
          <w:i/>
          <w:sz w:val="28"/>
          <w:szCs w:val="28"/>
          <w:highlight w:val="white"/>
        </w:rPr>
      </w:r>
    </w:p>
    <w:p>
      <w:pPr>
        <w:ind w:firstLine="540"/>
        <w:jc w:val="both"/>
        <w:rPr>
          <w:rFonts w:eastAsiaTheme="minorHAnsi"/>
          <w:i/>
          <w:iCs/>
          <w:sz w:val="28"/>
          <w:szCs w:val="28"/>
          <w:highlight w:val="none"/>
          <w:lang w:eastAsia="en-US"/>
        </w:rPr>
      </w:pPr>
      <w:r>
        <w:rPr>
          <w:rFonts w:eastAsiaTheme="minorHAnsi"/>
          <w:i/>
          <w:iCs/>
          <w:sz w:val="28"/>
          <w:szCs w:val="28"/>
          <w:highlight w:val="white"/>
          <w:lang w:eastAsia="en-US"/>
        </w:rPr>
        <w:t xml:space="preserve">Отчет (ф. 0503732) «</w:t>
      </w:r>
      <w:r>
        <w:rPr>
          <w:rFonts w:eastAsiaTheme="minorHAnsi"/>
          <w:i/>
          <w:iCs/>
          <w:sz w:val="28"/>
          <w:szCs w:val="28"/>
          <w:highlight w:val="white"/>
          <w:lang w:eastAsia="en-US"/>
        </w:rPr>
        <w:t xml:space="preserve">Сведения о государственном (муниципальн</w:t>
      </w:r>
      <w:r>
        <w:rPr>
          <w:rFonts w:eastAsiaTheme="minorHAnsi"/>
          <w:i/>
          <w:iCs/>
          <w:sz w:val="28"/>
          <w:szCs w:val="28"/>
          <w:highlight w:val="white"/>
          <w:lang w:eastAsia="en-US"/>
        </w:rPr>
        <w:t xml:space="preserve">ом) долге, предоставленных бюджетных кредитах консолидированного бюджета</w:t>
      </w:r>
      <w:r>
        <w:rPr>
          <w:rFonts w:eastAsiaTheme="minorHAnsi"/>
          <w:i/>
          <w:iCs/>
          <w:sz w:val="28"/>
          <w:szCs w:val="28"/>
          <w:highlight w:val="white"/>
          <w:lang w:eastAsia="en-US"/>
        </w:rPr>
        <w:t xml:space="preserve">»</w:t>
      </w:r>
      <w:r>
        <w:rPr>
          <w:rFonts w:eastAsiaTheme="minorHAnsi"/>
          <w:i/>
          <w:iCs/>
          <w:sz w:val="28"/>
          <w:szCs w:val="28"/>
          <w:highlight w:val="none"/>
          <w:lang w:eastAsia="en-US"/>
        </w:rPr>
      </w:r>
      <w:r>
        <w:rPr>
          <w:rFonts w:eastAsiaTheme="minorHAnsi"/>
          <w:i/>
          <w:iCs/>
          <w:sz w:val="28"/>
          <w:szCs w:val="28"/>
          <w:highlight w:val="none"/>
          <w:lang w:eastAsia="en-US"/>
        </w:rPr>
      </w:r>
    </w:p>
    <w:p>
      <w:pPr>
        <w:ind w:firstLine="540"/>
        <w:jc w:val="both"/>
        <w:rPr>
          <w:rFonts w:eastAsiaTheme="minorHAnsi"/>
          <w:i/>
          <w:iCs/>
          <w:color w:val="000000" w:themeColor="text1"/>
          <w:sz w:val="28"/>
          <w:szCs w:val="28"/>
          <w:highlight w:val="white"/>
        </w:rPr>
      </w:pPr>
      <w:r>
        <w:rPr>
          <w:rFonts w:eastAsiaTheme="minorHAnsi"/>
          <w:i/>
          <w:iCs/>
          <w:color w:val="000000" w:themeColor="text1"/>
          <w:sz w:val="28"/>
          <w:szCs w:val="28"/>
          <w:highlight w:val="white"/>
          <w:lang w:eastAsia="en-US"/>
        </w:rPr>
      </w:r>
      <w:r>
        <w:rPr>
          <w:rFonts w:eastAsiaTheme="minorHAnsi"/>
          <w:i/>
          <w:iCs/>
          <w:color w:val="000000" w:themeColor="text1"/>
          <w:sz w:val="28"/>
          <w:szCs w:val="28"/>
          <w:highlight w:val="white"/>
        </w:rPr>
      </w:r>
      <w:r>
        <w:rPr>
          <w:rFonts w:eastAsiaTheme="minorHAnsi"/>
          <w:i/>
          <w:iCs/>
          <w:color w:val="000000" w:themeColor="text1"/>
          <w:sz w:val="28"/>
          <w:szCs w:val="28"/>
          <w:highlight w:val="white"/>
        </w:rPr>
      </w:r>
    </w:p>
    <w:p>
      <w:pPr>
        <w:ind w:firstLine="708"/>
        <w:jc w:val="both"/>
        <w:rPr>
          <w:rFonts w:eastAsiaTheme="minorHAnsi"/>
          <w:color w:val="000000" w:themeColor="text1"/>
          <w:sz w:val="28"/>
          <w:szCs w:val="28"/>
          <w:highlight w:val="none"/>
        </w:rPr>
      </w:pP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Оренбургская область имеет задолженность перед Российской Федерацией </w:t>
      </w: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по привлеченным бюджетным кредитам в рамках целевых иностранных кредитов (заимствований)</w:t>
      </w: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.</w:t>
      </w:r>
      <w:r>
        <w:rPr>
          <w:rFonts w:eastAsiaTheme="minorHAnsi"/>
          <w:color w:val="000000" w:themeColor="text1"/>
          <w:sz w:val="28"/>
          <w:szCs w:val="28"/>
          <w:highlight w:val="none"/>
        </w:rPr>
      </w:r>
      <w:r>
        <w:rPr>
          <w:rFonts w:eastAsiaTheme="minorHAnsi"/>
          <w:color w:val="000000" w:themeColor="text1"/>
          <w:sz w:val="28"/>
          <w:szCs w:val="28"/>
          <w:highlight w:val="none"/>
        </w:rPr>
      </w:r>
    </w:p>
    <w:p>
      <w:pPr>
        <w:ind w:firstLine="708"/>
        <w:jc w:val="both"/>
        <w:rPr>
          <w:rFonts w:eastAsiaTheme="minorHAnsi"/>
          <w:color w:val="000000" w:themeColor="text1"/>
          <w:sz w:val="28"/>
          <w:szCs w:val="28"/>
          <w:highlight w:val="none"/>
        </w:rPr>
      </w:pP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По состоянию на 01.01.2026 остаток задолженности </w:t>
      </w:r>
      <w:r>
        <w:rPr>
          <w:color w:val="000000" w:themeColor="text1"/>
          <w:sz w:val="28"/>
          <w:szCs w:val="28"/>
          <w:highlight w:val="white"/>
        </w:rPr>
        <w:t xml:space="preserve">по внешним долговым обязательствам</w:t>
      </w: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 перед Министерством Финансов Российской Федерации составил 2 617 796 226,75 рублей.</w:t>
      </w:r>
      <w:r>
        <w:rPr>
          <w:rFonts w:eastAsiaTheme="minorHAnsi"/>
          <w:color w:val="000000" w:themeColor="text1"/>
          <w:sz w:val="28"/>
          <w:szCs w:val="28"/>
          <w:highlight w:val="none"/>
        </w:rPr>
      </w:r>
      <w:r>
        <w:rPr>
          <w:rFonts w:eastAsiaTheme="minorHAnsi"/>
          <w:color w:val="000000" w:themeColor="text1"/>
          <w:sz w:val="28"/>
          <w:szCs w:val="28"/>
          <w:highlight w:val="none"/>
        </w:rPr>
      </w:r>
    </w:p>
    <w:p>
      <w:pPr>
        <w:ind w:firstLine="708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По счету </w:t>
      </w: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1 301 21 710 «Уменьшен</w:t>
      </w: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ие задолженности перед бюджетами бюджетной системы Российской Федерации по привлеченным бюджетным кредитам в рамках целевых иностранных кредитов (заимствований)»                                           по КБК 0205 0000 02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0000 820 «</w:t>
      </w:r>
      <w:r>
        <w:rPr>
          <w:sz w:val="28"/>
          <w:szCs w:val="28"/>
          <w:highlight w:val="white"/>
        </w:rPr>
        <w:t xml:space="preserve">Погашение бюджетами субъектов Российской Федерации бюджетных кредитов в иностранной валюте, предоставленных Российской Федерацией в рамках исполь</w:t>
      </w:r>
      <w:r>
        <w:rPr>
          <w:sz w:val="28"/>
          <w:szCs w:val="28"/>
          <w:highlight w:val="white"/>
        </w:rPr>
        <w:t xml:space="preserve">зования целевых иностранных кред</w:t>
      </w:r>
      <w:r>
        <w:rPr>
          <w:sz w:val="28"/>
          <w:szCs w:val="28"/>
          <w:highlight w:val="white"/>
        </w:rPr>
        <w:t xml:space="preserve">итов» отражена операция по переоценке задолженности по внешним долговым обязательствам на 0,01 рубль (положительная курсовая разница) на основании акта сверки между Министерством финансов Российской Федерации и министерством финансов Оренбургской области. </w:t>
      </w:r>
      <w:r>
        <w:rPr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540"/>
        <w:jc w:val="both"/>
        <w:rPr>
          <w:rFonts w:eastAsiaTheme="minorHAnsi"/>
          <w:i/>
          <w:iCs/>
          <w:sz w:val="28"/>
          <w:szCs w:val="28"/>
          <w:highlight w:val="white"/>
        </w:rPr>
      </w:pPr>
      <w:r>
        <w:rPr>
          <w:rFonts w:eastAsiaTheme="minorHAnsi"/>
          <w:i/>
          <w:iCs/>
          <w:sz w:val="28"/>
          <w:szCs w:val="28"/>
          <w:highlight w:val="white"/>
          <w:lang w:eastAsia="en-US"/>
        </w:rPr>
      </w:r>
      <w:r>
        <w:rPr>
          <w:rFonts w:eastAsiaTheme="minorHAnsi"/>
          <w:i/>
          <w:iCs/>
          <w:sz w:val="28"/>
          <w:szCs w:val="28"/>
          <w:highlight w:val="white"/>
        </w:rPr>
      </w:r>
      <w:r>
        <w:rPr>
          <w:rFonts w:eastAsiaTheme="minorHAnsi"/>
          <w:i/>
          <w:iCs/>
          <w:sz w:val="28"/>
          <w:szCs w:val="28"/>
          <w:highlight w:val="white"/>
        </w:rPr>
      </w:r>
    </w:p>
    <w:p>
      <w:pPr>
        <w:shd w:val="nil" w:color="auto"/>
        <w:rPr>
          <w:bCs/>
          <w:i/>
          <w:sz w:val="28"/>
          <w:szCs w:val="28"/>
          <w:highlight w:val="white"/>
        </w:rPr>
      </w:pPr>
      <w:r>
        <w:rPr>
          <w:bCs/>
          <w:i/>
          <w:sz w:val="28"/>
          <w:szCs w:val="28"/>
          <w:highlight w:val="none"/>
        </w:rPr>
        <w:br w:type="page" w:clear="all"/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ind w:firstLine="708"/>
        <w:jc w:val="both"/>
        <w:rPr>
          <w:bCs/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white"/>
        </w:rPr>
        <w:t xml:space="preserve">Отчет ф. 0503373 </w:t>
      </w:r>
      <w:r>
        <w:rPr>
          <w:bCs/>
          <w:i/>
          <w:sz w:val="28"/>
          <w:szCs w:val="28"/>
          <w:highlight w:val="white"/>
        </w:rPr>
        <w:t xml:space="preserve">«Справка об изменении остатков валюты баланса                  консолидированного бюджета»</w:t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p>
      <w:pPr>
        <w:ind w:firstLine="540"/>
        <w:jc w:val="both"/>
        <w:rPr>
          <w:bCs/>
          <w:i/>
          <w:sz w:val="28"/>
          <w:szCs w:val="28"/>
          <w:highlight w:val="white"/>
        </w:rPr>
      </w:pP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  <w:r>
        <w:rPr>
          <w:bCs/>
          <w:i/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Валюта баланса изменилась в сторону увеличения на 10 689,9</w:t>
      </w:r>
      <w:r>
        <w:rPr>
          <w:sz w:val="28"/>
          <w:szCs w:val="28"/>
          <w:highlight w:val="white"/>
        </w:rPr>
        <w:t xml:space="preserve"> млн. рублей, в том числе за счет: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1. Изменения в результате реорганизации (код причины 01) -                         «-» 5,3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</w:t>
      </w:r>
      <w:r>
        <w:rPr>
          <w:sz w:val="28"/>
          <w:szCs w:val="28"/>
          <w:highlight w:val="white"/>
        </w:rPr>
        <w:t xml:space="preserve">л</w:t>
      </w:r>
      <w:r>
        <w:rPr>
          <w:sz w:val="28"/>
          <w:szCs w:val="28"/>
          <w:highlight w:val="white"/>
        </w:rPr>
        <w:t xml:space="preserve">н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</w:t>
      </w:r>
      <w:r>
        <w:rPr>
          <w:sz w:val="28"/>
          <w:szCs w:val="28"/>
          <w:highlight w:val="white"/>
        </w:rPr>
        <w:t xml:space="preserve">у</w:t>
      </w:r>
      <w:r>
        <w:rPr>
          <w:sz w:val="28"/>
          <w:szCs w:val="28"/>
          <w:highlight w:val="white"/>
        </w:rPr>
        <w:t xml:space="preserve">б</w:t>
      </w:r>
      <w:r>
        <w:rPr>
          <w:sz w:val="28"/>
          <w:szCs w:val="28"/>
          <w:highlight w:val="white"/>
        </w:rPr>
        <w:t xml:space="preserve">л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й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2. Изменения валюты баланса, связанного с исправлением ошибок прошлых лет (код причины 03) – 7 183,6</w:t>
      </w:r>
      <w:r>
        <w:rPr>
          <w:sz w:val="28"/>
          <w:szCs w:val="28"/>
          <w:highlight w:val="white"/>
        </w:rPr>
        <w:t xml:space="preserve"> млн. рублей, в том числе по видам причин: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несвоевременное поступление первичных учетных документов – </w:t>
      </w:r>
      <w:r>
        <w:rPr>
          <w:sz w:val="28"/>
          <w:szCs w:val="28"/>
          <w:highlight w:val="white"/>
        </w:rPr>
        <w:t xml:space="preserve">                «-» 384,6</w:t>
      </w:r>
      <w:r>
        <w:rPr>
          <w:sz w:val="28"/>
          <w:szCs w:val="28"/>
          <w:highlight w:val="white"/>
        </w:rPr>
        <w:t xml:space="preserve"> млн. рублей;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несвоевременное отражение фактов хозяйственной жизни в регистрах бухгалтерского учета – 1 915,7 млн. рублей;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ошибки в применении счетов бухгалтерского учета –                                                1 423,0 млн. рублей;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ошибки, допущенные при отражении бухгалтерских записей на основании первичного учетного документа (за исключением ошибок в применении счетов бухгалтерского учета – 4 496,6 млн. рублей;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иные причины – «-» 267,1 млн. рублей.     </w:t>
      </w:r>
      <w:r>
        <w:rPr>
          <w:sz w:val="28"/>
          <w:szCs w:val="28"/>
          <w:highlight w:val="white"/>
        </w:rPr>
        <w:t xml:space="preserve">        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 Изменения в результате пересчета показателей отчетности (код причины 05) </w:t>
      </w:r>
      <w:r>
        <w:rPr>
          <w:sz w:val="28"/>
          <w:szCs w:val="28"/>
          <w:highlight w:val="white"/>
        </w:rPr>
        <w:t xml:space="preserve">–</w:t>
      </w:r>
      <w:r>
        <w:rPr>
          <w:sz w:val="28"/>
          <w:szCs w:val="28"/>
          <w:highlight w:val="white"/>
        </w:rPr>
        <w:t xml:space="preserve"> 0,07 млн. рублей.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4. Изменения по иным причинам (код причины 06) </w:t>
      </w:r>
      <w:r>
        <w:rPr>
          <w:sz w:val="28"/>
          <w:szCs w:val="28"/>
          <w:highlight w:val="white"/>
        </w:rPr>
        <w:t xml:space="preserve">–</w:t>
      </w:r>
      <w:r>
        <w:rPr>
          <w:sz w:val="28"/>
          <w:szCs w:val="28"/>
          <w:highlight w:val="white"/>
        </w:rPr>
        <w:t xml:space="preserve"> «-» 1,0 млн. рублей;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5. Изменения по причине исправления ошибок прошлых лет по результатам внешнего (внутреннего) государственного (муниципального) финансового контроля (код причины 07) </w:t>
      </w:r>
      <w:r>
        <w:rPr>
          <w:sz w:val="28"/>
          <w:szCs w:val="28"/>
          <w:highlight w:val="white"/>
        </w:rPr>
        <w:t xml:space="preserve">– 3 512,6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sz w:val="28"/>
          <w:szCs w:val="28"/>
          <w:highlight w:val="white"/>
        </w:rPr>
        <w:t xml:space="preserve">млн. рублей.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40"/>
        <w:jc w:val="both"/>
        <w:rPr>
          <w:rFonts w:eastAsiaTheme="minorHAnsi"/>
          <w:bCs/>
          <w:i/>
          <w:sz w:val="28"/>
          <w:szCs w:val="28"/>
          <w:highlight w:val="white"/>
        </w:rPr>
      </w:pPr>
      <w:r>
        <w:rPr>
          <w:rFonts w:eastAsiaTheme="minorHAnsi"/>
          <w:i/>
          <w:sz w:val="28"/>
          <w:szCs w:val="28"/>
          <w:highlight w:val="white"/>
          <w:lang w:eastAsia="en-US"/>
        </w:rPr>
      </w:r>
      <w:r>
        <w:rPr>
          <w:rFonts w:eastAsiaTheme="minorHAnsi"/>
          <w:bCs/>
          <w:i/>
          <w:sz w:val="28"/>
          <w:szCs w:val="28"/>
          <w:highlight w:val="white"/>
        </w:rPr>
      </w:r>
      <w:r>
        <w:rPr>
          <w:rFonts w:eastAsiaTheme="minorHAnsi"/>
          <w:bCs/>
          <w:i/>
          <w:sz w:val="28"/>
          <w:szCs w:val="28"/>
          <w:highlight w:val="white"/>
        </w:rPr>
      </w:r>
    </w:p>
    <w:p>
      <w:pPr>
        <w:ind w:firstLine="540"/>
        <w:jc w:val="both"/>
        <w:rPr>
          <w:rFonts w:eastAsiaTheme="minorHAnsi"/>
          <w:bCs/>
          <w:i/>
          <w:sz w:val="28"/>
          <w:szCs w:val="28"/>
          <w:highlight w:val="white"/>
        </w:rPr>
      </w:pPr>
      <w:r>
        <w:rPr>
          <w:i/>
          <w:sz w:val="28"/>
          <w:szCs w:val="28"/>
          <w:highlight w:val="white"/>
        </w:rPr>
        <w:t xml:space="preserve">Отчет ф. 0503190 «</w:t>
      </w:r>
      <w:r>
        <w:rPr>
          <w:rFonts w:eastAsiaTheme="minorHAnsi"/>
          <w:i/>
          <w:sz w:val="28"/>
          <w:szCs w:val="28"/>
          <w:highlight w:val="white"/>
          <w:lang w:eastAsia="en-US"/>
        </w:rPr>
        <w:t xml:space="preserve">Сведения о вложениях в объекты недвижимого имущества, объектах незавершенного строительства»</w:t>
      </w:r>
      <w:r>
        <w:rPr>
          <w:rFonts w:eastAsiaTheme="minorHAnsi"/>
          <w:bCs/>
          <w:i/>
          <w:sz w:val="28"/>
          <w:szCs w:val="28"/>
          <w:highlight w:val="white"/>
        </w:rPr>
      </w:r>
      <w:r>
        <w:rPr>
          <w:rFonts w:eastAsiaTheme="minorHAnsi"/>
          <w:bCs/>
          <w:i/>
          <w:sz w:val="28"/>
          <w:szCs w:val="28"/>
          <w:highlight w:val="white"/>
        </w:rPr>
      </w:r>
    </w:p>
    <w:p>
      <w:pPr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 w:val="0"/>
          <w:bCs w:val="0"/>
          <w:color w:val="000000"/>
          <w:sz w:val="28"/>
          <w:szCs w:val="28"/>
          <w:highlight w:val="white"/>
        </w:rPr>
        <w:outlineLvl w:val="0"/>
      </w:pPr>
      <w:r>
        <w:rPr>
          <w:sz w:val="28"/>
          <w:szCs w:val="28"/>
          <w:highlight w:val="white"/>
        </w:rPr>
        <w:t xml:space="preserve">На 01.01.2026 </w:t>
      </w:r>
      <w:r>
        <w:rPr>
          <w:sz w:val="28"/>
          <w:szCs w:val="28"/>
          <w:highlight w:val="white"/>
        </w:rPr>
        <w:t xml:space="preserve"> о</w:t>
      </w:r>
      <w:bookmarkStart w:id="0" w:name="_GoBack"/>
      <w:r>
        <w:rPr>
          <w:highlight w:val="white"/>
        </w:rPr>
      </w:r>
      <w:bookmarkEnd w:id="0"/>
      <w:r>
        <w:rPr>
          <w:sz w:val="28"/>
          <w:szCs w:val="28"/>
          <w:highlight w:val="white"/>
        </w:rPr>
        <w:t xml:space="preserve">статок по счету 0 106 11 000 «Вложения в основные средства - недвижимое имущество учреждения» составляет 8 799,4 млн. рублей. Число объектов незавершенного строительства </w:t>
      </w:r>
      <w:r>
        <w:rPr>
          <w:sz w:val="28"/>
          <w:szCs w:val="28"/>
          <w:highlight w:val="white"/>
        </w:rPr>
        <w:t xml:space="preserve">за 2025 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увеличилось  с 260 до 267 единиц. </w:t>
      </w:r>
      <w:r>
        <w:rPr>
          <w:b w:val="0"/>
          <w:bCs w:val="0"/>
          <w:color w:val="000000"/>
          <w:sz w:val="28"/>
          <w:szCs w:val="28"/>
          <w:highlight w:val="white"/>
        </w:rPr>
      </w:r>
      <w:r>
        <w:rPr>
          <w:b w:val="0"/>
          <w:bCs w:val="0"/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  <w:outlineLvl w:val="0"/>
      </w:pPr>
      <w:r>
        <w:rPr>
          <w:b w:val="0"/>
          <w:bCs w:val="0"/>
          <w:color w:val="000000"/>
          <w:sz w:val="28"/>
          <w:szCs w:val="28"/>
          <w:highlight w:val="white"/>
        </w:rPr>
        <w:t xml:space="preserve">По сравнению с показателями на 01.01.2025 (по данным годовой отчетности за 2024 год) наименования объектов и коды целевых функций уточнены балансодержателями, а также скорректирована балансовая стоимость объектов, расшифровка прилагается.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b w:val="0"/>
          <w:bCs w:val="0"/>
          <w:color w:val="000000"/>
          <w:sz w:val="28"/>
          <w:szCs w:val="28"/>
          <w:highlight w:val="none"/>
        </w:rPr>
      </w:pP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</w:p>
    <w:p>
      <w:pPr>
        <w:ind w:firstLine="708"/>
        <w:jc w:val="both"/>
        <w:rPr>
          <w:b w:val="0"/>
          <w:bCs w:val="0"/>
          <w:color w:val="000000"/>
          <w:sz w:val="28"/>
          <w:szCs w:val="28"/>
          <w:highlight w:val="none"/>
        </w:rPr>
      </w:pP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</w:p>
    <w:p>
      <w:pPr>
        <w:ind w:firstLine="708"/>
        <w:jc w:val="both"/>
        <w:rPr>
          <w:b w:val="0"/>
          <w:bCs w:val="0"/>
          <w:color w:val="000000"/>
          <w:sz w:val="28"/>
          <w:szCs w:val="28"/>
          <w:highlight w:val="none"/>
        </w:rPr>
      </w:pP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</w:p>
    <w:p>
      <w:pPr>
        <w:ind w:firstLine="708"/>
        <w:jc w:val="both"/>
        <w:rPr>
          <w:b w:val="0"/>
          <w:bCs w:val="0"/>
          <w:color w:val="000000"/>
          <w:sz w:val="28"/>
          <w:szCs w:val="28"/>
          <w:highlight w:val="none"/>
        </w:rPr>
      </w:pP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</w:p>
    <w:p>
      <w:pPr>
        <w:ind w:firstLine="708"/>
        <w:jc w:val="both"/>
        <w:rPr>
          <w:b w:val="0"/>
          <w:bCs w:val="0"/>
          <w:color w:val="000000"/>
          <w:sz w:val="28"/>
          <w:szCs w:val="28"/>
          <w:highlight w:val="none"/>
        </w:rPr>
      </w:pP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</w:p>
    <w:p>
      <w:pPr>
        <w:ind w:firstLine="708"/>
        <w:jc w:val="both"/>
        <w:rPr>
          <w:b w:val="0"/>
          <w:bCs w:val="0"/>
          <w:color w:val="000000"/>
          <w:sz w:val="28"/>
          <w:szCs w:val="28"/>
          <w:highlight w:val="none"/>
        </w:rPr>
      </w:pP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</w:p>
    <w:p>
      <w:pPr>
        <w:ind w:firstLine="708"/>
        <w:jc w:val="both"/>
        <w:rPr>
          <w:b w:val="0"/>
          <w:bCs w:val="0"/>
          <w:color w:val="000000"/>
          <w:sz w:val="28"/>
          <w:szCs w:val="28"/>
          <w:highlight w:val="none"/>
        </w:rPr>
      </w:pP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</w:p>
    <w:p>
      <w:pPr>
        <w:ind w:firstLine="708"/>
        <w:jc w:val="both"/>
        <w:rPr>
          <w:b w:val="0"/>
          <w:bCs w:val="0"/>
          <w:color w:val="000000"/>
          <w:sz w:val="28"/>
          <w:szCs w:val="28"/>
          <w:highlight w:val="none"/>
        </w:rPr>
      </w:pP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  <w:r>
        <w:rPr>
          <w:b w:val="0"/>
          <w:bCs w:val="0"/>
          <w:color w:val="000000"/>
          <w:sz w:val="28"/>
          <w:szCs w:val="28"/>
          <w:highlight w:val="none"/>
        </w:rPr>
      </w:r>
    </w:p>
    <w:tbl>
      <w:tblPr>
        <w:tblStyle w:val="892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488"/>
        <w:gridCol w:w="1843"/>
        <w:gridCol w:w="368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33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объекта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48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ИНН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учреждения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Изменение балансовой  стоимости на начало 2025 года  по сравнению с показателем на конец 2024 года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Пояснение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</w:tr>
    </w:tbl>
    <w:tbl>
      <w:tblPr>
        <w:tblStyle w:val="892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488"/>
        <w:gridCol w:w="1843"/>
        <w:gridCol w:w="3686"/>
      </w:tblGrid>
      <w:tr>
        <w:tblPrEx/>
        <w:trPr>
          <w:tblHeader/>
        </w:trPr>
        <w:tc>
          <w:tcPr>
            <w:tcW w:w="233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1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148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3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4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339" w:type="dxa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Изменение балансовой стоимости всего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48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-166 322 680,51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2"/>
                <w:szCs w:val="22"/>
                <w:u w:val="none"/>
              </w:rPr>
            </w:r>
          </w:p>
        </w:tc>
      </w:tr>
      <w:tr>
        <w:tblPrEx/>
        <w:trPr/>
        <w:tc>
          <w:tcPr>
            <w:tcW w:w="233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</w:rPr>
              <w:t xml:space="preserve">в том числе: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Строительство автомобильной дороги ул. Веретина, в с. Ташла, Ташлинского района, Оренбургской 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</w:rPr>
            </w:r>
          </w:p>
        </w:tc>
        <w:tc>
          <w:tcPr>
            <w:tcW w:w="148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5648004389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jc w:val="righ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28 034,77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Увеличение стоимости объекта за счет 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осстановления в учете стоимости государственной экспертизы автомобильных дорог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233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Строительство автомобильной дороги ул. Октябрьская, в с. Ташла, Ташлинского района, Оренбургской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5648004389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97 187,39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Увеличение стоимости объекта за счет 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осстановления в учете стоимости государственной экспертизы автомобильных дорог</w:t>
            </w:r>
            <w:r/>
          </w:p>
        </w:tc>
      </w:tr>
      <w:tr>
        <w:tblPrEx/>
        <w:trPr/>
        <w:tc>
          <w:tcPr>
            <w:tcW w:w="233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Строительство автомобильной дороги ул. Российская, в с. Ташла, Ташлинского района, Оренбургской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5648004389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28 034,77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Увеличение стоимости объекта за счет 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осстановления в учете стоимости государственной экспертизы автомобильных дорог</w:t>
            </w:r>
            <w:r/>
          </w:p>
        </w:tc>
      </w:tr>
      <w:tr>
        <w:tblPrEx/>
        <w:trPr/>
        <w:tc>
          <w:tcPr>
            <w:tcW w:w="233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Строительство автомобильной дороги ул. Уральская, в с. Ташла, Ташлинского района, Оренбургской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5648004389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28 034,76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Увеличение стоимости объекта за счет 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осстановления в учете стоимости государственной экспертизы автомобильных дорог</w:t>
            </w:r>
            <w:r/>
          </w:p>
        </w:tc>
      </w:tr>
      <w:tr>
        <w:tblPrEx/>
        <w:trPr/>
        <w:tc>
          <w:tcPr>
            <w:tcW w:w="2339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Строительство автомобильной дороги ул. Чкалова, в с. Ташла, Ташлинского района, Оренбургской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5648004389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28 034,77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Увеличение стоимости объекта за счет 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осстановления в учете стоимости государственной экспертизы автомобильных дорог</w:t>
            </w:r>
            <w:r/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Линии уличного освещения по адресу:Оренбургская область, Оренбургский район, с. Нежинка, ул.Ивановская,ул.Друзей,ул.Соловьиная роща, ул.Яицкая,ул.Новогодняя, ул. Олимпийская, пер.Зимний,пер.Светлый, пер.Колодезный.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none"/>
                <w:u w:val="none"/>
                <w:vertAlign w:val="baselin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5638029031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-45 000,00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Уменьшение капитальных вложений путем исправления ошибок прошлых лет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Реконструкция инженерной защиты (Берег р. Урал)поселка Весенний Оренбургского района Оренбургской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5638029169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  <w:vertAlign w:val="baseline"/>
              </w:rPr>
              <w:t xml:space="preserve">-194 554 820,0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Уменьшение капитальных вложений путем исправления ошибок прошлых лет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в соответствии с протестом Прокурора  Оренбургского района от 14.03.2025 года № 07-01-2025-54 в связи с отсутствием первичных учетных документов, подтверждающих вложения в объект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Сооружение водопроводной сети, Оренбургская область, город Бузулук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5603014852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-100 000,00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Уменьшение капитальных вложений путем исправления ошибок прошлых лет. Остаток по счету 1060000 перенесен на 30200000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 w:themeColor="text1"/>
                <w:sz w:val="22"/>
                <w:szCs w:val="22"/>
                <w:highlight w:val="white"/>
                <w:u w:val="non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город Оренбург, улица Пролетарская/Орлова, дом 145/90, квартира 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5610008810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3 165 348,00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По результатам контрольного мероприятия  объект восстановлен на счете 10651000 путем сторнирования  операций по принятию имущества в состав имущества казны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город Оренбург, улица Пролетарская/Орлова, дом 145/90, квартира 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5610008810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2 467 610,00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По результатам контрольного мероприятия  объект восстановлен на счете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10651000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 путем сторнирования  операций по принятию имущества в состав имущества казны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город Оренбург, улица Пролетарская/Орлова, дом 145/90, квартира 2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5610008810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2 399 538,00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По результатам контрольного мероприятия  объект восстановлен на счете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10651000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 путем сторнирования  операций по принятию имущества в состав имущества казны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город Оренбург, улица Невельская, дом 4в, квартира 34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5610008810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5 233 035,00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По результатам контрольного мероприятия  объект восстановлен на счете 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0651000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 путем сторнирования  операций по принятию имущества в состав имущества казны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город Оренбург, улица Степная, дом 10, квартира 10А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5610008810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2 561 209,00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По результатам контрольного мероприятия  объект восстановлен на счете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10651000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 путем сторнирования  операций по принятию имущества в состав имущества казны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город Оренбург, улица Гусева, дом 28Г, квартира 9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5610008810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4 569 333,00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По результатам контрольного мероприятия  объект восстановлен на счете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10651000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 путем сторнирования  операций по принятию имущества в состав имущества казны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город Оренбург, улица Инструментальная, дом 3, квартира 5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5610008810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1 960 000,00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По результатам контрольного мероприятия  объект восстановлен на счете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10651000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 путем сторнирования  операций по принятию имущества в состав имущества казны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Многоэтажное административное здание по адресу: город Оренбург, улица Чичерина/переулок Хозяйственный, дом 54/5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5610008810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5 876 053,55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Объект принят к учету в 2025 году исправлением ошибок прошлых лет, в связи с поступлением первичных учетных документов после срока представления годовой бюджетной отчетности за 2024 года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Наружный газопровод высокого и низкого давления к застройке поселка Нижнесакмарский по адресу: город Оренбург, поселок Нижнесакмарский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5610008810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9 515 525,70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Объект принят к учету в 2025 году исправлением ошибок прошлых лет, в связи с поступлением первичных учетных документов после срока представления годовой бюджетной отчетности за 2024 года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Внутриквартальные сети водоснабжения: с. Пруды г. Оренбург, Оренбургская обл., г. Оренбург, с. Пруды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5610139980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107 100,00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Объект принят к учету в 2025 году исправлением ошибок прошлых лет, в связи с поступлением первичных учетных документов после срока представления годовой бюджетной отчетности за 2024 года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Водопровод по адресу: Оренбургская обл., г. Оренбург, площадь 1 Мая, 3А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5612005646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598 500,00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Перенесены расходы на реализацию инвестиционных проектов со счета 10631000 на счет 10611000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Наружная сеть теплоснабжения по адресу: Оренбургская обл., г .Оренбург, площадь 1 Мая, 3А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5612005646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2 614 454,78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Перенесены расходы на реализацию инвестиционных проектов со счета 10631000 на счет 10611000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Сети электроснабжения сквера у ЦДТ ДК "ТРЗ", расположены по адресу: Оренбургская обл., г. Оренбург, ул. Магнитогорская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5610139980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-12 904 214,00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contextualSpacing/>
              <w:ind w:firstLine="0"/>
              <w:jc w:val="both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В связи с поступлением выписки из ЕГРН после срока представления годовой бюджетной отчетности за 2024 год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объект капитальных вложений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исправлением ошибок прошлых лет был принят в состав основных средств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на балансовый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счет 10100000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Магистраль районного значения, расположена по адресу: Оренбургская обл., г. Оренбург, ул. Степана Разина и Загородное шоссе. 3 этап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5610139980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-92 066 539,51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о результатам контрольного мероприятия, исправлением ошибок прошлых лет объект «Магистраль районного значения, расположена по адресу: Оренбургская обл., г. Оренбург, 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л. Степана Разина и Загородное шоссе. 3 этап» в учете на начало 2025 года был разделен на инженерно-коммуникационные сети, что привело к увеличению количества объектов незавершенного строительства на начало отчетного периода по сравнению с концом прошлого.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Магистраль районного значения, расположена по адресу: Оренбургская обл., г. Оренбург, ул. Степана Разина и Загородное шоссе. 1 этап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5610139980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-24 663 632,34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о результатам контрольного мероприятия, исправлением ошибок прошлых лет объект «Магистраль районного значения, расположена по адресу: Оренбургская обл., г. Оренбург,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ул. Степана Разина и Загородное шоссе. 1 этап» в учете на начало 2025 года был разделен на инженерно-коммуникационные сети, что привело к увеличению количества объектов незавершенного строительства на начало отчетного периода по сравнению с концом прошлого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Магистраль районного значения, расположена по адресу: Оренбургская обл., г. Оренбург, ул. Степана Разина и Загородное шоссе. 2 этап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5610139980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-63 903 015,21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о результатам контрольного мероприятия, исправлением ошибок прошлых лет объект «Магистраль районного значения, расположена по адресу: Оренбургская обл., г. Оренбург,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ул. Степана Разина и Загородное шоссе. 2 этап» в учете на начало 2025 года был разделен на инженерно-коммуникационные сети, что привело к увеличению количества объектов незавершенного строительства на начало отчетного периода по сравнению с концом прошлого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Ливневая канализация. Магистраль районного значения, соединяющая ул. Степана Разина и Загородное шоссе (Дублер ул. Чкалова) в г. Оренбурге. 1 этап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5610139980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20 405 961,16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бъект принят к учету в результате разделения объекта «Магистраль районного значения, расположена по адресу: Оренбургская обл., г. Оренбург, ул. Степана Разина и Загородное шоссе. 1 этап» при государственной регистрации права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Наружное электроосвещение. Магистраль районного значения, соединяющая ул. Степана Разина и Загородное шоссе (Дублер ул. Чкалова) в г. Оренбурге. 1 этап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5610139980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4 261 991,18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бъект принят к учету в результате разделения объекта «Магистраль районного значения, расположена по адресу: Оренбургская обл., г. Оренбург, ул. Степана Разина и Загородное шоссе. 1 этап» при государственной регистрации права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Дождевая канализация. Магистраль районного значения, соединяющая ул. Степана Разина и Загородное шоссе (Дублер ул. Чкалова) в г. Оренбурге. 2 этап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5610139980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63 903 015,21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бъект принят к учету в результате разделения объекта «Магистраль районного значения, расположена по адресу: Оренбургская обл., г. Оренбург, ул. Степана Разина и Загородное шоссе. 2 этап» при государственной регистрации права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Дождевая канализация. Магистраль районного значения, соединяющая ул. Степана Разина и Загородное шоссе (Дублер ул. Чкалова) в г. Оренбурге. 3 этап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5610139980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49 237 977,72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Объект принят к учету в результате разделения объекта «Магистраль районного значения, расположена по адресу: Оренбургская обл., г. Оренбург, ул. Степана Разина и Загородное шоссе. 3 этап» на три объекта при государственной регистрации права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2339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Наружное электроосвещение. Магистраль районного значения, соединяющая ул. Степана Разина и Загородное шоссе (Дублер ул. Чкалова) в г. Оренбурге. 3 этап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48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5610139980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42 828 561,79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Объект принят к учету в результате разделения объекта «Магистраль районного значения, расположена по адресу: Оренбургская обл., г. Оренбург, ул. Степана Разина и Загородное шоссе. 3 этап» на три объекта при государственной регистрации права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jc w:val="center"/>
        <w:rPr>
          <w:b/>
          <w:bCs/>
          <w:color w:val="000000"/>
          <w:sz w:val="28"/>
          <w:szCs w:val="28"/>
          <w:highlight w:val="white"/>
        </w:rPr>
      </w:pPr>
      <w:r>
        <w:rPr>
          <w:b/>
          <w:bCs/>
          <w:color w:val="000000"/>
          <w:sz w:val="28"/>
          <w:szCs w:val="28"/>
          <w:highlight w:val="none"/>
        </w:rPr>
      </w:r>
      <w:r>
        <w:rPr>
          <w:b/>
          <w:bCs/>
          <w:color w:val="000000"/>
          <w:sz w:val="28"/>
          <w:szCs w:val="28"/>
          <w:highlight w:val="none"/>
        </w:rPr>
      </w:r>
    </w:p>
    <w:p>
      <w:pPr>
        <w:jc w:val="center"/>
        <w:rPr>
          <w:b/>
          <w:bCs/>
          <w:color w:val="000000"/>
          <w:sz w:val="28"/>
          <w:szCs w:val="28"/>
          <w:highlight w:val="non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Раздел 5 «Прочие вопросы деятельности субъекта бюджетной </w:t>
      </w:r>
      <w:r>
        <w:rPr>
          <w:b/>
          <w:bCs/>
          <w:color w:val="000000"/>
          <w:sz w:val="28"/>
          <w:szCs w:val="28"/>
          <w:highlight w:val="none"/>
        </w:rPr>
      </w:r>
      <w:r>
        <w:rPr>
          <w:b/>
          <w:bCs/>
          <w:color w:val="000000"/>
          <w:sz w:val="28"/>
          <w:szCs w:val="28"/>
          <w:highlight w:val="none"/>
        </w:rPr>
      </w:r>
    </w:p>
    <w:p>
      <w:pPr>
        <w:jc w:val="center"/>
        <w:rPr>
          <w:b/>
          <w:bCs/>
          <w:color w:val="000000"/>
          <w:sz w:val="28"/>
          <w:szCs w:val="28"/>
          <w:highlight w:val="none"/>
        </w:rPr>
      </w:pPr>
      <w:r>
        <w:rPr>
          <w:b/>
          <w:bCs/>
          <w:color w:val="000000"/>
          <w:sz w:val="28"/>
          <w:szCs w:val="28"/>
          <w:highlight w:val="white"/>
        </w:rPr>
        <w:t xml:space="preserve">отчетности»</w:t>
      </w:r>
      <w:r>
        <w:rPr>
          <w:b/>
          <w:bCs/>
          <w:color w:val="000000"/>
          <w:sz w:val="28"/>
          <w:szCs w:val="28"/>
          <w:highlight w:val="none"/>
        </w:rPr>
      </w:r>
      <w:r>
        <w:rPr>
          <w:b/>
          <w:bCs/>
          <w:color w:val="000000"/>
          <w:sz w:val="28"/>
          <w:szCs w:val="28"/>
          <w:highlight w:val="none"/>
        </w:rPr>
      </w:r>
    </w:p>
    <w:p>
      <w:pPr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Консолидированная бюджетная отчетность по состоянию на 01.01.2026 года составлена </w:t>
      </w:r>
      <w:r>
        <w:rPr>
          <w:rFonts w:eastAsia="Calibri"/>
          <w:sz w:val="28"/>
          <w:szCs w:val="28"/>
          <w:highlight w:val="white"/>
        </w:rPr>
        <w:t xml:space="preserve">в соответствии требованиями совместного письма Минфина России и Федерального казначейства </w:t>
      </w:r>
      <w:r>
        <w:rPr>
          <w:sz w:val="28"/>
          <w:szCs w:val="28"/>
          <w:highlight w:val="white"/>
        </w:rPr>
        <w:t xml:space="preserve">от 29.01.2026 № 02-07-08/4301                № 07-04-05/02-1418 «О дополнительных критериях по раскрытию информации при составлении и представлении годовой бюджетной отчетности, годовой </w:t>
      </w:r>
      <w:r>
        <w:rPr>
          <w:sz w:val="28"/>
          <w:szCs w:val="28"/>
          <w:highlight w:val="white"/>
        </w:rPr>
        <w:t xml:space="preserve">консолидированной бухгалтерской отчетности государственных (муниципальных) бюджетных и автономных учреждений финансовыми органами субъектов Российской Федерации и органами управления государственными внебюджетными фондами Российской Федерации за 2025 год».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rFonts w:eastAsiaTheme="minorHAnsi"/>
          <w:sz w:val="28"/>
          <w:szCs w:val="28"/>
          <w:highlight w:val="none"/>
        </w:rPr>
      </w:pPr>
      <w:r>
        <w:rPr>
          <w:sz w:val="28"/>
          <w:szCs w:val="28"/>
          <w:highlight w:val="white"/>
          <w:lang w:val="en-US"/>
        </w:rPr>
        <w:t xml:space="preserve">C</w:t>
      </w:r>
      <w:hyperlink r:id="rId16" w:tooltip="https://login.consultant.ru/link/?req=doc&amp;base=LAW&amp;n=467434&amp;dst=3822" w:history="1">
        <w:r>
          <w:rPr>
            <w:rStyle w:val="894"/>
            <w:rFonts w:eastAsiaTheme="minorHAnsi"/>
            <w:color w:val="auto"/>
            <w:sz w:val="28"/>
            <w:szCs w:val="28"/>
            <w:highlight w:val="white"/>
            <w:u w:val="none"/>
            <w:lang w:eastAsia="en-US"/>
          </w:rPr>
          <w:t xml:space="preserve">правка</w:t>
        </w:r>
      </w:hyperlink>
      <w:r>
        <w:rPr>
          <w:rFonts w:eastAsiaTheme="minorHAnsi"/>
          <w:sz w:val="28"/>
          <w:szCs w:val="28"/>
          <w:highlight w:val="white"/>
          <w:lang w:eastAsia="en-US"/>
        </w:rPr>
        <w:t xml:space="preserve"> по консолидируемым расчетам (ф. 0503125) не содержит числовых значений по следующим кодам счетов: 120651000, 120654000, 120654561,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120654661, 130131000, 130131710, 130131810, 130254000, 130254831, 140110189. 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none"/>
        </w:rPr>
      </w:r>
    </w:p>
    <w:p>
      <w:pPr>
        <w:ind w:firstLine="708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none"/>
        </w:rPr>
      </w:r>
      <w:r>
        <w:rPr>
          <w:rFonts w:eastAsiaTheme="minorHAnsi"/>
          <w:sz w:val="28"/>
          <w:szCs w:val="28"/>
          <w:highlight w:val="none"/>
        </w:rPr>
      </w:r>
    </w:p>
    <w:tbl>
      <w:tblPr>
        <w:tblW w:w="9068" w:type="dxa"/>
        <w:tblInd w:w="0" w:type="dxa"/>
        <w:tblLayout w:type="autofit"/>
        <w:tblLook w:val="01E0" w:firstRow="1" w:lastRow="1" w:firstColumn="1" w:lastColumn="1" w:noHBand="0" w:noVBand="0"/>
      </w:tblPr>
      <w:tblGrid>
        <w:gridCol w:w="2393"/>
        <w:gridCol w:w="282"/>
        <w:gridCol w:w="2828"/>
        <w:gridCol w:w="1700"/>
        <w:gridCol w:w="1984"/>
      </w:tblGrid>
      <w:tr>
        <w:tblPrEx/>
        <w:trPr/>
        <w:tc>
          <w:tcPr>
            <w:tcMar>
              <w:left w:w="0" w:type="dxa"/>
              <w:top w:w="20" w:type="dxa"/>
              <w:right w:w="0" w:type="dxa"/>
              <w:bottom w:w="0" w:type="dxa"/>
            </w:tcMar>
            <w:tcW w:w="2267" w:type="dxa"/>
            <w:vAlign w:val="center"/>
            <w:vMerge w:val="restart"/>
            <w:textDirection w:val="lrTb"/>
            <w:noWrap w:val="false"/>
          </w:tcPr>
          <w:tbl>
            <w:tblPr>
              <w:tblW w:w="2267" w:type="dxa"/>
              <w:tblInd w:w="0" w:type="dxa"/>
              <w:tblLayout w:type="autofit"/>
              <w:tblCellMar>
                <w:left w:w="0" w:type="dxa"/>
                <w:top w:w="0" w:type="dxa"/>
                <w:right w:w="0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134"/>
            </w:tblGrid>
            <w:tr>
              <w:tblPrEx/>
              <w:trPr/>
              <w:tc>
                <w:tcPr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267" w:type="dxa"/>
                  <w:vAlign w:val="top"/>
                  <w:textDirection w:val="lrTb"/>
                  <w:noWrap w:val="false"/>
                </w:tcPr>
                <w:p>
                  <w:pPr>
                    <w:jc w:val="left"/>
                    <w:spacing w:before="0" w:after="0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pacing w:val="0"/>
                      <w:sz w:val="24"/>
                      <w:szCs w:val="24"/>
                    </w:rPr>
                    <w:t xml:space="preserve">МИНИСТР ФИНАНСОВ ОРЕНБУРГСКОЙ ОБЛАСТИ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4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gridSpan w:val="2"/>
            <w:tcBorders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84" w:type="dxa"/>
            <w:vAlign w:val="top"/>
            <w:vMerge w:val="restart"/>
            <w:textDirection w:val="lrTb"/>
            <w:noWrap w:val="false"/>
          </w:tcPr>
          <w:p>
            <w:r/>
            <w:r/>
            <w:r/>
          </w:p>
          <w:tbl>
            <w:tblPr>
              <w:tblW w:w="3684" w:type="dxa"/>
              <w:jc w:val="center"/>
              <w:tblInd w:w="0" w:type="dxa"/>
              <w:tblLayout w:type="autofit"/>
              <w:tblCellMar>
                <w:left w:w="0" w:type="dxa"/>
                <w:top w:w="0" w:type="dxa"/>
                <w:right w:w="0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134"/>
            </w:tblGrid>
            <w:tr>
              <w:tblPrEx/>
              <w:trPr/>
              <w:tc>
                <w:tcPr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684" w:type="dxa"/>
                  <w:vAlign w:val="top"/>
                  <w:textDirection w:val="lrTb"/>
                  <w:noWrap w:val="false"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pacing w:val="0"/>
                      <w:sz w:val="28"/>
                      <w:szCs w:val="28"/>
                    </w:rPr>
                    <w:t xml:space="preserve">Е.В. Сеньчев</w:t>
                  </w:r>
                  <w:r/>
                  <w:r/>
                </w:p>
              </w:tc>
            </w:tr>
          </w:tbl>
          <w:p>
            <w:pPr>
              <w:spacing w:line="1" w:lineRule="auto"/>
            </w:pPr>
            <w:r/>
            <w:r/>
            <w:r/>
          </w:p>
        </w:tc>
      </w:tr>
      <w:tr>
        <w:tblPrEx/>
        <w:trPr>
          <w:trHeight w:val="453"/>
        </w:trPr>
        <w:tc>
          <w:tcPr>
            <w:tcMar>
              <w:left w:w="0" w:type="dxa"/>
              <w:top w:w="20" w:type="dxa"/>
              <w:right w:w="0" w:type="dxa"/>
              <w:bottom w:w="0" w:type="dxa"/>
            </w:tcMar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4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68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pacing w:val="0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14"/>
                <w:szCs w:val="14"/>
              </w:rPr>
              <w:t xml:space="preserve">(расшифровка подписи)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14"/>
                <w:szCs w:val="1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14"/>
                <w:szCs w:val="14"/>
              </w:rPr>
            </w:r>
          </w:p>
        </w:tc>
      </w:tr>
      <w:tr>
        <w:tblPrEx/>
        <w:trPr/>
        <w:tc>
          <w:tcPr>
            <w:gridSpan w:val="5"/>
            <w:tcBorders>
              <w:right w:val="single" w:color="000000" w:sz="18" w:space="0"/>
            </w:tcBorders>
            <w:tcMar>
              <w:left w:w="0" w:type="dxa"/>
              <w:top w:w="20" w:type="dxa"/>
              <w:right w:w="0" w:type="dxa"/>
              <w:bottom w:w="0" w:type="dxa"/>
            </w:tcMar>
            <w:tcW w:w="9068" w:type="dxa"/>
            <w:vAlign w:val="center"/>
            <w:vMerge w:val="restart"/>
            <w:textDirection w:val="lrTb"/>
            <w:noWrap w:val="false"/>
          </w:tcPr>
          <w:tbl>
            <w:tblPr>
              <w:tblW w:w="9068" w:type="dxa"/>
              <w:tblInd w:w="0" w:type="dxa"/>
              <w:tblBorders>
                <w:top w:val="single" w:color="000000" w:sz="18" w:space="0"/>
                <w:left w:val="single" w:color="000000" w:sz="18" w:space="0"/>
                <w:bottom w:val="single" w:color="000000" w:sz="18" w:space="0"/>
                <w:right w:val="single" w:color="000000" w:sz="18" w:space="0"/>
              </w:tblBorders>
              <w:tblLayout w:type="autofit"/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134"/>
              <w:gridCol w:w="1134"/>
            </w:tblGrid>
            <w:tr>
              <w:tblPrEx/>
              <w:trPr/>
              <w:tc>
                <w:tcPr>
                  <w:gridSpan w:val="5"/>
                  <w:tcBorders>
                    <w:right w:val="single" w:color="000000" w:sz="18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068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b/>
                      <w:color w:val="000000"/>
                      <w:spacing w:val="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color w:val="000000"/>
                      <w:spacing w:val="0"/>
                      <w:sz w:val="28"/>
                      <w:szCs w:val="28"/>
                    </w:rPr>
                    <w:t xml:space="preserve">ДОКУМЕНТ ПОДПИСАН ЭЛЕКТРОННОЙ ПОДПИСЬЮ</w:t>
                  </w:r>
                  <w:r>
                    <w:rPr>
                      <w:rFonts w:ascii="Times New Roman" w:hAnsi="Times New Roman" w:eastAsia="Times New Roman" w:cs="Times New Roman"/>
                      <w:b/>
                      <w:color w:val="000000"/>
                      <w:spacing w:val="0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color w:val="000000"/>
                      <w:spacing w:val="0"/>
                      <w:sz w:val="28"/>
                      <w:szCs w:val="28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Borders>
                    <w:right w:val="single" w:color="000000" w:sz="18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068" w:type="dxa"/>
                  <w:vAlign w:val="top"/>
                  <w:vMerge w:val="restart"/>
                  <w:textDirection w:val="lrTb"/>
                  <w:noWrap w:val="false"/>
                </w:tcPr>
                <w:tbl>
                  <w:tblPr>
                    <w:tblW w:w="9068" w:type="dxa"/>
                    <w:tblInd w:w="0" w:type="dxa"/>
                    <w:tblLayout w:type="autofit"/>
                    <w:tblCellMar>
                      <w:left w:w="0" w:type="dxa"/>
                      <w:top w:w="0" w:type="dxa"/>
                      <w:right w:w="0" w:type="dxa"/>
                      <w:bottom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34"/>
                  </w:tblGrid>
                  <w:tr>
                    <w:tblPrEx/>
                    <w:trPr/>
                    <w:tc>
                      <w:tcPr>
                        <w:tcMar>
                          <w:left w:w="0" w:type="dxa"/>
                          <w:top w:w="0" w:type="dxa"/>
                          <w:right w:w="0" w:type="dxa"/>
                          <w:bottom w:w="0" w:type="dxa"/>
                        </w:tcMar>
                        <w:tcW w:w="9068" w:type="dxa"/>
                        <w:vAlign w:val="top"/>
                        <w:textDirection w:val="lrTb"/>
                        <w:noWrap w:val="false"/>
                      </w:tcPr>
                      <w:p>
                        <w:pPr>
                          <w:spacing w:before="0" w:after="0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pacing w:val="0"/>
                            <w:sz w:val="20"/>
                            <w:szCs w:val="20"/>
                          </w:rPr>
                          <w:t xml:space="preserve">Сертификат: 13AC5B8F730FE3876D0CEA48C6B1FBD2</w:t>
                        </w:r>
                        <w:r/>
                        <w:r/>
                      </w:p>
                      <w:p>
                        <w:pPr>
                          <w:spacing w:before="0" w:after="0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pacing w:val="0"/>
                            <w:sz w:val="20"/>
                            <w:szCs w:val="20"/>
                          </w:rPr>
                          <w:t xml:space="preserve">Владелец: Сеньчев Евгений Валерьевич</w:t>
                        </w:r>
                        <w:r/>
                        <w:r/>
                      </w:p>
                      <w:p>
                        <w:pPr>
                          <w:spacing w:before="0" w:after="0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pacing w:val="0"/>
                            <w:sz w:val="20"/>
                            <w:szCs w:val="20"/>
                          </w:rPr>
                          <w:t xml:space="preserve">Действителен с 28.10.2025 по 21.01.2027</w:t>
                        </w:r>
                        <w:r/>
                        <w:r/>
                      </w:p>
                      <w:p>
                        <w:pPr>
                          <w:spacing w:before="0" w:after="0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pacing w:val="0"/>
                            <w:sz w:val="20"/>
                            <w:szCs w:val="20"/>
                          </w:rPr>
                          <w:t xml:space="preserve"> </w:t>
                        </w:r>
                        <w:r/>
                        <w:r/>
                      </w:p>
                    </w:tc>
                  </w:tr>
                </w:tbl>
                <w:p>
                  <w:pPr>
                    <w:spacing w:line="1" w:lineRule="auto"/>
                  </w:pPr>
                  <w:r/>
                  <w:r/>
                  <w:r/>
                </w:p>
              </w:tc>
            </w:tr>
          </w:tbl>
          <w:p>
            <w:pPr>
              <w:spacing w:line="1" w:lineRule="auto"/>
            </w:pPr>
            <w:r/>
            <w:r/>
            <w:r/>
          </w:p>
        </w:tc>
      </w:tr>
      <w:tr>
        <w:tblPrEx/>
        <w:trPr/>
        <w:tc>
          <w:tcPr>
            <w:tcMar>
              <w:left w:w="0" w:type="dxa"/>
              <w:top w:w="2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4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00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</w:tr>
      <w:tr>
        <w:tblPrEx/>
        <w:trPr>
          <w:trHeight w:val="226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vMerge w:val="restart"/>
            <w:textDirection w:val="lrTb"/>
            <w:noWrap w:val="false"/>
          </w:tcPr>
          <w:tbl>
            <w:tblPr>
              <w:tblW w:w="2267" w:type="dxa"/>
              <w:tblInd w:w="0" w:type="dxa"/>
              <w:tblLayout w:type="autofit"/>
              <w:tblCellMar>
                <w:left w:w="0" w:type="dxa"/>
                <w:top w:w="0" w:type="dxa"/>
                <w:right w:w="0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134"/>
            </w:tblGrid>
            <w:tr>
              <w:tblPrEx/>
              <w:trPr/>
              <w:tc>
                <w:tcPr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267" w:type="dxa"/>
                  <w:vAlign w:val="top"/>
                  <w:textDirection w:val="lrTb"/>
                  <w:noWrap w:val="false"/>
                </w:tcPr>
                <w:p>
                  <w:pPr>
                    <w:jc w:val="left"/>
                    <w:spacing w:before="0" w:after="0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pacing w:val="0"/>
                      <w:sz w:val="24"/>
                      <w:szCs w:val="24"/>
                    </w:rPr>
                    <w:t xml:space="preserve">Начальник управления бюджетной политики и межбюджетных отношений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4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gridSpan w:val="2"/>
            <w:tcBorders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84" w:type="dxa"/>
            <w:vAlign w:val="top"/>
            <w:vMerge w:val="restart"/>
            <w:textDirection w:val="lrTb"/>
            <w:noWrap w:val="false"/>
          </w:tcPr>
          <w:p>
            <w:r/>
            <w:r/>
            <w:r/>
          </w:p>
          <w:tbl>
            <w:tblPr>
              <w:tblW w:w="3684" w:type="dxa"/>
              <w:jc w:val="center"/>
              <w:tblInd w:w="0" w:type="dxa"/>
              <w:tblLayout w:type="autofit"/>
              <w:tblCellMar>
                <w:left w:w="0" w:type="dxa"/>
                <w:top w:w="0" w:type="dxa"/>
                <w:right w:w="0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134"/>
            </w:tblGrid>
            <w:tr>
              <w:tblPrEx/>
              <w:trPr/>
              <w:tc>
                <w:tcPr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684" w:type="dxa"/>
                  <w:vAlign w:val="top"/>
                  <w:textDirection w:val="lrTb"/>
                  <w:noWrap w:val="false"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pacing w:val="0"/>
                      <w:sz w:val="28"/>
                      <w:szCs w:val="28"/>
                    </w:rPr>
                    <w:t xml:space="preserve">А.В. Марков</w:t>
                  </w:r>
                  <w:r/>
                  <w:r/>
                </w:p>
              </w:tc>
            </w:tr>
          </w:tbl>
          <w:p>
            <w:pPr>
              <w:spacing w:line="1" w:lineRule="auto"/>
            </w:pPr>
            <w:r/>
            <w:r/>
            <w:r/>
          </w:p>
        </w:tc>
      </w:tr>
      <w:tr>
        <w:tblPrEx/>
        <w:trPr>
          <w:trHeight w:val="453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4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68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pacing w:val="0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14"/>
                <w:szCs w:val="14"/>
              </w:rPr>
              <w:t xml:space="preserve">(расшифровка подписи)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14"/>
                <w:szCs w:val="1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14"/>
                <w:szCs w:val="14"/>
              </w:rPr>
            </w:r>
          </w:p>
        </w:tc>
      </w:tr>
      <w:tr>
        <w:tblPrEx/>
        <w:trPr/>
        <w:tc>
          <w:tcPr>
            <w:gridSpan w:val="5"/>
            <w:tcBorders>
              <w:right w:val="single" w:color="000000" w:sz="1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68" w:type="dxa"/>
            <w:vAlign w:val="center"/>
            <w:vMerge w:val="restart"/>
            <w:textDirection w:val="lrTb"/>
            <w:noWrap w:val="false"/>
          </w:tcPr>
          <w:tbl>
            <w:tblPr>
              <w:tblW w:w="9068" w:type="dxa"/>
              <w:tblInd w:w="0" w:type="dxa"/>
              <w:tblBorders>
                <w:top w:val="single" w:color="000000" w:sz="18" w:space="0"/>
                <w:left w:val="single" w:color="000000" w:sz="18" w:space="0"/>
                <w:bottom w:val="single" w:color="000000" w:sz="18" w:space="0"/>
                <w:right w:val="single" w:color="000000" w:sz="18" w:space="0"/>
              </w:tblBorders>
              <w:tblLayout w:type="autofit"/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134"/>
              <w:gridCol w:w="1134"/>
            </w:tblGrid>
            <w:tr>
              <w:tblPrEx/>
              <w:trPr>
                <w:trHeight w:val="105"/>
              </w:trPr>
              <w:tc>
                <w:tcPr>
                  <w:gridSpan w:val="5"/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068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b/>
                      <w:color w:val="000000"/>
                      <w:spacing w:val="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color w:val="000000"/>
                      <w:spacing w:val="0"/>
                      <w:sz w:val="28"/>
                      <w:szCs w:val="28"/>
                    </w:rPr>
                    <w:t xml:space="preserve">ДОКУМЕНТ ПОДПИСАН ЭЛЕКТРОННОЙ ПОДПИСЬЮ</w:t>
                  </w:r>
                  <w:r>
                    <w:rPr>
                      <w:rFonts w:ascii="Times New Roman" w:hAnsi="Times New Roman" w:eastAsia="Times New Roman" w:cs="Times New Roman"/>
                      <w:b/>
                      <w:color w:val="000000"/>
                      <w:spacing w:val="0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color w:val="000000"/>
                      <w:spacing w:val="0"/>
                      <w:sz w:val="28"/>
                      <w:szCs w:val="28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Borders>
                    <w:right w:val="single" w:color="000000" w:sz="18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068" w:type="dxa"/>
                  <w:vAlign w:val="top"/>
                  <w:vMerge w:val="restart"/>
                  <w:textDirection w:val="lrTb"/>
                  <w:noWrap w:val="false"/>
                </w:tcPr>
                <w:tbl>
                  <w:tblPr>
                    <w:tblW w:w="9068" w:type="dxa"/>
                    <w:tblInd w:w="0" w:type="dxa"/>
                    <w:tblLayout w:type="autofit"/>
                    <w:tblCellMar>
                      <w:left w:w="0" w:type="dxa"/>
                      <w:top w:w="0" w:type="dxa"/>
                      <w:right w:w="0" w:type="dxa"/>
                      <w:bottom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34"/>
                  </w:tblGrid>
                  <w:tr>
                    <w:tblPrEx/>
                    <w:trPr/>
                    <w:tc>
                      <w:tcPr>
                        <w:tcMar>
                          <w:left w:w="0" w:type="dxa"/>
                          <w:top w:w="0" w:type="dxa"/>
                          <w:right w:w="0" w:type="dxa"/>
                          <w:bottom w:w="0" w:type="dxa"/>
                        </w:tcMar>
                        <w:tcW w:w="9068" w:type="dxa"/>
                        <w:vAlign w:val="top"/>
                        <w:textDirection w:val="lrTb"/>
                        <w:noWrap w:val="false"/>
                      </w:tcPr>
                      <w:p>
                        <w:pPr>
                          <w:jc w:val="left"/>
                          <w:spacing w:before="0" w:after="0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pacing w:val="0"/>
                            <w:sz w:val="20"/>
                            <w:szCs w:val="20"/>
                          </w:rPr>
                          <w:t xml:space="preserve">Сертификат: 06fe3fba441e8da63b1190bbfab9b1f7</w:t>
                        </w:r>
                        <w:r/>
                        <w:r/>
                      </w:p>
                      <w:p>
                        <w:pPr>
                          <w:jc w:val="left"/>
                          <w:spacing w:before="0" w:after="0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pacing w:val="0"/>
                            <w:sz w:val="20"/>
                            <w:szCs w:val="20"/>
                          </w:rPr>
                          <w:t xml:space="preserve">Владелец: Марков Андрей Владимирович</w:t>
                        </w:r>
                        <w:r/>
                        <w:r/>
                      </w:p>
                      <w:p>
                        <w:pPr>
                          <w:jc w:val="left"/>
                          <w:spacing w:before="0" w:after="0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pacing w:val="0"/>
                            <w:sz w:val="20"/>
                            <w:szCs w:val="20"/>
                          </w:rPr>
                          <w:t xml:space="preserve">Действителен с 11.07.2025 по 04.10.2026</w:t>
                        </w:r>
                        <w:r/>
                        <w:r/>
                      </w:p>
                      <w:p>
                        <w:pPr>
                          <w:jc w:val="left"/>
                          <w:spacing w:before="0" w:after="0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pacing w:val="0"/>
                            <w:sz w:val="20"/>
                            <w:szCs w:val="20"/>
                          </w:rPr>
                          <w:t xml:space="preserve"> </w:t>
                        </w:r>
                        <w:r/>
                        <w:r/>
                      </w:p>
                    </w:tc>
                  </w:tr>
                </w:tbl>
                <w:p>
                  <w:pPr>
                    <w:spacing w:line="1" w:lineRule="auto"/>
                  </w:pPr>
                  <w:r/>
                  <w:r/>
                  <w:r/>
                </w:p>
              </w:tc>
            </w:tr>
          </w:tbl>
          <w:p>
            <w:pPr>
              <w:spacing w:line="1" w:lineRule="auto"/>
            </w:pPr>
            <w:r/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4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00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vMerge w:val="restart"/>
            <w:textDirection w:val="lrTb"/>
            <w:noWrap w:val="false"/>
          </w:tcPr>
          <w:tbl>
            <w:tblPr>
              <w:tblW w:w="2267" w:type="dxa"/>
              <w:tblInd w:w="0" w:type="dxa"/>
              <w:tblLayout w:type="autofit"/>
              <w:tblCellMar>
                <w:left w:w="0" w:type="dxa"/>
                <w:top w:w="0" w:type="dxa"/>
                <w:right w:w="0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134"/>
            </w:tblGrid>
            <w:tr>
              <w:tblPrEx/>
              <w:trPr/>
              <w:tc>
                <w:tcPr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2267" w:type="dxa"/>
                  <w:vAlign w:val="top"/>
                  <w:textDirection w:val="lrTb"/>
                  <w:noWrap w:val="false"/>
                </w:tcPr>
                <w:p>
                  <w:pPr>
                    <w:jc w:val="left"/>
                    <w:spacing w:before="0" w:after="0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pacing w:val="0"/>
                      <w:sz w:val="24"/>
                      <w:szCs w:val="24"/>
                    </w:rPr>
                    <w:t xml:space="preserve">З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pacing w:val="0"/>
                      <w:sz w:val="24"/>
                      <w:szCs w:val="24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pacing w:val="0"/>
                      <w:sz w:val="24"/>
                      <w:szCs w:val="24"/>
                    </w:rPr>
                    <w:t xml:space="preserve">меститель начальника управления бюджетного учета и консолидированной отчетности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4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gridSpan w:val="2"/>
            <w:tcBorders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84" w:type="dxa"/>
            <w:vAlign w:val="top"/>
            <w:vMerge w:val="restart"/>
            <w:textDirection w:val="lrTb"/>
            <w:noWrap w:val="false"/>
          </w:tcPr>
          <w:p>
            <w:r/>
            <w:r/>
            <w:r/>
          </w:p>
          <w:tbl>
            <w:tblPr>
              <w:tblW w:w="3684" w:type="dxa"/>
              <w:jc w:val="center"/>
              <w:tblInd w:w="0" w:type="dxa"/>
              <w:tblLayout w:type="autofit"/>
              <w:tblCellMar>
                <w:left w:w="0" w:type="dxa"/>
                <w:top w:w="0" w:type="dxa"/>
                <w:right w:w="0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134"/>
            </w:tblGrid>
            <w:tr>
              <w:tblPrEx/>
              <w:trPr/>
              <w:tc>
                <w:tcPr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3684" w:type="dxa"/>
                  <w:vAlign w:val="top"/>
                  <w:textDirection w:val="lrTb"/>
                  <w:noWrap w:val="false"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pacing w:val="0"/>
                      <w:sz w:val="28"/>
                      <w:szCs w:val="28"/>
                    </w:rPr>
                    <w:t xml:space="preserve">И.В. Лигостаева</w:t>
                  </w:r>
                  <w:r/>
                  <w:r/>
                </w:p>
              </w:tc>
            </w:tr>
          </w:tbl>
          <w:p>
            <w:pPr>
              <w:spacing w:line="1" w:lineRule="auto"/>
            </w:pPr>
            <w:r/>
            <w:r/>
            <w:r/>
          </w:p>
        </w:tc>
      </w:tr>
      <w:tr>
        <w:tblPrEx/>
        <w:trPr>
          <w:trHeight w:val="453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vMerge w:val="continue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4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68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pacing w:val="0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14"/>
                <w:szCs w:val="14"/>
              </w:rPr>
              <w:t xml:space="preserve">(расшифровка подписи)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14"/>
                <w:szCs w:val="1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14"/>
                <w:szCs w:val="14"/>
              </w:rPr>
            </w:r>
          </w:p>
        </w:tc>
      </w:tr>
      <w:tr>
        <w:tblPrEx/>
        <w:trPr/>
        <w:tc>
          <w:tcPr>
            <w:gridSpan w:val="5"/>
            <w:tcBorders>
              <w:right w:val="single" w:color="000000" w:sz="1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68" w:type="dxa"/>
            <w:vAlign w:val="center"/>
            <w:vMerge w:val="restart"/>
            <w:textDirection w:val="lrTb"/>
            <w:noWrap w:val="false"/>
          </w:tcPr>
          <w:tbl>
            <w:tblPr>
              <w:tblW w:w="9068" w:type="dxa"/>
              <w:tblInd w:w="0" w:type="dxa"/>
              <w:tblBorders>
                <w:top w:val="single" w:color="000000" w:sz="18" w:space="0"/>
                <w:left w:val="single" w:color="000000" w:sz="18" w:space="0"/>
                <w:bottom w:val="single" w:color="000000" w:sz="18" w:space="0"/>
                <w:right w:val="single" w:color="000000" w:sz="18" w:space="0"/>
              </w:tblBorders>
              <w:tblLayout w:type="autofit"/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134"/>
              <w:gridCol w:w="1134"/>
            </w:tblGrid>
            <w:tr>
              <w:tblPrEx/>
              <w:trPr/>
              <w:tc>
                <w:tcPr>
                  <w:gridSpan w:val="5"/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068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eastAsia="Times New Roman" w:cs="Times New Roman"/>
                      <w:b/>
                      <w:color w:val="000000"/>
                      <w:spacing w:val="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color w:val="000000"/>
                      <w:spacing w:val="0"/>
                      <w:sz w:val="28"/>
                      <w:szCs w:val="28"/>
                    </w:rPr>
                    <w:t xml:space="preserve">ДОКУМЕНТ ПОДПИСАН ЭЛЕКТРОННОЙ ПОДПИСЬЮ</w:t>
                  </w:r>
                  <w:r>
                    <w:rPr>
                      <w:rFonts w:ascii="Times New Roman" w:hAnsi="Times New Roman" w:eastAsia="Times New Roman" w:cs="Times New Roman"/>
                      <w:b/>
                      <w:color w:val="000000"/>
                      <w:spacing w:val="0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color w:val="000000"/>
                      <w:spacing w:val="0"/>
                      <w:sz w:val="28"/>
                      <w:szCs w:val="28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Borders>
                    <w:right w:val="single" w:color="000000" w:sz="18" w:space="0"/>
                  </w:tcBorders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068" w:type="dxa"/>
                  <w:vAlign w:val="top"/>
                  <w:vMerge w:val="restart"/>
                  <w:textDirection w:val="lrTb"/>
                  <w:noWrap w:val="false"/>
                </w:tcPr>
                <w:tbl>
                  <w:tblPr>
                    <w:tblW w:w="9068" w:type="dxa"/>
                    <w:tblInd w:w="0" w:type="dxa"/>
                    <w:tblLayout w:type="autofit"/>
                    <w:tblCellMar>
                      <w:left w:w="0" w:type="dxa"/>
                      <w:top w:w="0" w:type="dxa"/>
                      <w:right w:w="0" w:type="dxa"/>
                      <w:bottom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34"/>
                  </w:tblGrid>
                  <w:tr>
                    <w:tblPrEx/>
                    <w:trPr/>
                    <w:tc>
                      <w:tcPr>
                        <w:tcMar>
                          <w:left w:w="0" w:type="dxa"/>
                          <w:top w:w="0" w:type="dxa"/>
                          <w:right w:w="0" w:type="dxa"/>
                          <w:bottom w:w="0" w:type="dxa"/>
                        </w:tcMar>
                        <w:tcW w:w="9068" w:type="dxa"/>
                        <w:vAlign w:val="top"/>
                        <w:textDirection w:val="lrTb"/>
                        <w:noWrap w:val="false"/>
                      </w:tcPr>
                      <w:p>
                        <w:pPr>
                          <w:jc w:val="left"/>
                          <w:spacing w:before="0" w:after="0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pacing w:val="0"/>
                            <w:sz w:val="20"/>
                            <w:szCs w:val="20"/>
                          </w:rPr>
                          <w:t xml:space="preserve">Сертификат: 009C0BE18BB552E13A3FAE89B425061740</w:t>
                        </w:r>
                        <w:r/>
                        <w:r/>
                      </w:p>
                      <w:p>
                        <w:pPr>
                          <w:jc w:val="left"/>
                          <w:spacing w:before="0" w:after="0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pacing w:val="0"/>
                            <w:sz w:val="20"/>
                            <w:szCs w:val="20"/>
                          </w:rPr>
                          <w:t xml:space="preserve">Владелец: Лигостаева Ирина Владимировна</w:t>
                        </w:r>
                        <w:r/>
                        <w:r/>
                      </w:p>
                      <w:p>
                        <w:pPr>
                          <w:jc w:val="left"/>
                          <w:spacing w:before="0" w:after="0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pacing w:val="0"/>
                            <w:sz w:val="20"/>
                            <w:szCs w:val="20"/>
                          </w:rPr>
                          <w:t xml:space="preserve">Действителен с 22.12.2025 по 17.03.2027</w:t>
                        </w:r>
                        <w:r/>
                        <w:r/>
                      </w:p>
                      <w:p>
                        <w:pPr>
                          <w:jc w:val="left"/>
                          <w:spacing w:before="0" w:after="0"/>
                        </w:pPr>
                        <w:r>
                          <w:rPr>
                            <w:rFonts w:ascii="Times New Roman" w:hAnsi="Times New Roman" w:eastAsia="Times New Roman" w:cs="Times New Roman"/>
                            <w:color w:val="000000"/>
                            <w:spacing w:val="0"/>
                            <w:sz w:val="20"/>
                            <w:szCs w:val="20"/>
                          </w:rPr>
                          <w:t xml:space="preserve"> </w:t>
                        </w:r>
                        <w:r/>
                        <w:r/>
                      </w:p>
                    </w:tc>
                  </w:tr>
                </w:tbl>
                <w:p>
                  <w:pPr>
                    <w:spacing w:line="1" w:lineRule="auto"/>
                  </w:pPr>
                  <w:r/>
                  <w:r/>
                  <w:r/>
                </w:p>
              </w:tc>
            </w:tr>
          </w:tbl>
          <w:p>
            <w:pPr>
              <w:spacing w:line="1" w:lineRule="auto"/>
            </w:pPr>
            <w:r/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834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00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  <w:r/>
          </w:p>
        </w:tc>
      </w:tr>
      <w:tr>
        <w:tblPrEx/>
        <w:trPr/>
        <w:tc>
          <w:tcPr>
            <w:gridSpan w:val="5"/>
            <w:tcMar>
              <w:left w:w="0" w:type="dxa"/>
              <w:top w:w="0" w:type="dxa"/>
              <w:right w:w="0" w:type="dxa"/>
              <w:bottom w:w="0" w:type="dxa"/>
            </w:tcMar>
            <w:tcW w:w="9068" w:type="dxa"/>
            <w:vAlign w:val="top"/>
            <w:vMerge w:val="restart"/>
            <w:textDirection w:val="lrTb"/>
            <w:noWrap w:val="false"/>
          </w:tcPr>
          <w:tbl>
            <w:tblPr>
              <w:tblW w:w="9068" w:type="dxa"/>
              <w:tblInd w:w="0" w:type="dxa"/>
              <w:tblLayout w:type="autofit"/>
              <w:tblCellMar>
                <w:left w:w="0" w:type="dxa"/>
                <w:top w:w="0" w:type="dxa"/>
                <w:right w:w="0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134"/>
            </w:tblGrid>
            <w:tr>
              <w:tblPrEx/>
              <w:trPr/>
              <w:tc>
                <w:tcPr>
                  <w:tcMar>
                    <w:left w:w="0" w:type="dxa"/>
                    <w:top w:w="0" w:type="dxa"/>
                    <w:right w:w="0" w:type="dxa"/>
                    <w:bottom w:w="0" w:type="dxa"/>
                  </w:tcMar>
                  <w:tcW w:w="9068" w:type="dxa"/>
                  <w:vAlign w:val="top"/>
                  <w:textDirection w:val="lrTb"/>
                  <w:noWrap w:val="false"/>
                </w:tcPr>
                <w:p>
                  <w:pPr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pacing w:val="0"/>
                      <w:sz w:val="28"/>
                      <w:szCs w:val="28"/>
                    </w:rPr>
                    <w:t xml:space="preserve">13 марта 2026 г.</w:t>
                  </w:r>
                  <w:r/>
                  <w:r/>
                </w:p>
              </w:tc>
            </w:tr>
          </w:tbl>
          <w:p>
            <w:pPr>
              <w:spacing w:line="1" w:lineRule="auto"/>
            </w:pPr>
            <w:r/>
            <w:r/>
            <w:r/>
          </w:p>
        </w:tc>
      </w:tr>
    </w:tbl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0" w:bottom="993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Verdana">
    <w:panose1 w:val="020B060403050404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84568229"/>
      <w:docPartObj>
        <w:docPartGallery w:val="Page Numbers (Top of Page)"/>
        <w:docPartUnique w:val="true"/>
      </w:docPartObj>
      <w:rPr/>
    </w:sdtPr>
    <w:sdtContent>
      <w:p>
        <w:pPr>
          <w:pStyle w:val="88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30</w:t>
        </w:r>
        <w:r>
          <w:fldChar w:fldCharType="end"/>
        </w:r>
        <w:r/>
      </w:p>
    </w:sdtContent>
  </w:sdt>
  <w:p>
    <w:pPr>
      <w:pStyle w:val="88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48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32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9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6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3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0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8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5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244" w:hanging="180"/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48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32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9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6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3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0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8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5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244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0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1">
    <w:name w:val="Heading 2 Char"/>
    <w:basedOn w:val="715"/>
    <w:link w:val="707"/>
    <w:uiPriority w:val="9"/>
    <w:rPr>
      <w:rFonts w:ascii="Arial" w:hAnsi="Arial" w:eastAsia="Arial" w:cs="Arial"/>
      <w:sz w:val="34"/>
    </w:rPr>
  </w:style>
  <w:style w:type="character" w:styleId="692">
    <w:name w:val="Heading 3 Char"/>
    <w:basedOn w:val="715"/>
    <w:link w:val="708"/>
    <w:uiPriority w:val="9"/>
    <w:rPr>
      <w:rFonts w:ascii="Arial" w:hAnsi="Arial" w:eastAsia="Arial" w:cs="Arial"/>
      <w:sz w:val="30"/>
      <w:szCs w:val="30"/>
    </w:rPr>
  </w:style>
  <w:style w:type="character" w:styleId="693">
    <w:name w:val="Heading 4 Char"/>
    <w:basedOn w:val="715"/>
    <w:link w:val="709"/>
    <w:uiPriority w:val="9"/>
    <w:rPr>
      <w:rFonts w:ascii="Arial" w:hAnsi="Arial" w:eastAsia="Arial" w:cs="Arial"/>
      <w:b/>
      <w:bCs/>
      <w:sz w:val="26"/>
      <w:szCs w:val="26"/>
    </w:rPr>
  </w:style>
  <w:style w:type="character" w:styleId="694">
    <w:name w:val="Heading 5 Char"/>
    <w:basedOn w:val="715"/>
    <w:link w:val="710"/>
    <w:uiPriority w:val="9"/>
    <w:rPr>
      <w:rFonts w:ascii="Arial" w:hAnsi="Arial" w:eastAsia="Arial" w:cs="Arial"/>
      <w:b/>
      <w:bCs/>
      <w:sz w:val="24"/>
      <w:szCs w:val="24"/>
    </w:rPr>
  </w:style>
  <w:style w:type="character" w:styleId="695">
    <w:name w:val="Heading 6 Char"/>
    <w:basedOn w:val="715"/>
    <w:link w:val="711"/>
    <w:uiPriority w:val="9"/>
    <w:rPr>
      <w:rFonts w:ascii="Arial" w:hAnsi="Arial" w:eastAsia="Arial" w:cs="Arial"/>
      <w:b/>
      <w:bCs/>
      <w:sz w:val="22"/>
      <w:szCs w:val="22"/>
    </w:rPr>
  </w:style>
  <w:style w:type="character" w:styleId="696">
    <w:name w:val="Heading 7 Char"/>
    <w:basedOn w:val="715"/>
    <w:link w:val="7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8 Char"/>
    <w:basedOn w:val="715"/>
    <w:link w:val="713"/>
    <w:uiPriority w:val="9"/>
    <w:rPr>
      <w:rFonts w:ascii="Arial" w:hAnsi="Arial" w:eastAsia="Arial" w:cs="Arial"/>
      <w:i/>
      <w:iCs/>
      <w:sz w:val="22"/>
      <w:szCs w:val="22"/>
    </w:rPr>
  </w:style>
  <w:style w:type="character" w:styleId="698">
    <w:name w:val="Heading 9 Char"/>
    <w:basedOn w:val="715"/>
    <w:link w:val="714"/>
    <w:uiPriority w:val="9"/>
    <w:rPr>
      <w:rFonts w:ascii="Arial" w:hAnsi="Arial" w:eastAsia="Arial" w:cs="Arial"/>
      <w:i/>
      <w:iCs/>
      <w:sz w:val="21"/>
      <w:szCs w:val="21"/>
    </w:rPr>
  </w:style>
  <w:style w:type="character" w:styleId="699">
    <w:name w:val="Title Char"/>
    <w:basedOn w:val="715"/>
    <w:link w:val="727"/>
    <w:uiPriority w:val="10"/>
    <w:rPr>
      <w:sz w:val="48"/>
      <w:szCs w:val="48"/>
    </w:rPr>
  </w:style>
  <w:style w:type="character" w:styleId="700">
    <w:name w:val="Subtitle Char"/>
    <w:basedOn w:val="715"/>
    <w:link w:val="729"/>
    <w:uiPriority w:val="11"/>
    <w:rPr>
      <w:sz w:val="24"/>
      <w:szCs w:val="24"/>
    </w:rPr>
  </w:style>
  <w:style w:type="character" w:styleId="701">
    <w:name w:val="Quote Char"/>
    <w:link w:val="731"/>
    <w:uiPriority w:val="29"/>
    <w:rPr>
      <w:i/>
    </w:rPr>
  </w:style>
  <w:style w:type="character" w:styleId="702">
    <w:name w:val="Intense Quote Char"/>
    <w:link w:val="733"/>
    <w:uiPriority w:val="30"/>
    <w:rPr>
      <w:i/>
    </w:rPr>
  </w:style>
  <w:style w:type="character" w:styleId="703">
    <w:name w:val="Footnote Text Char"/>
    <w:link w:val="864"/>
    <w:uiPriority w:val="99"/>
    <w:rPr>
      <w:sz w:val="18"/>
    </w:rPr>
  </w:style>
  <w:style w:type="character" w:styleId="704">
    <w:name w:val="Endnote Text Char"/>
    <w:link w:val="867"/>
    <w:uiPriority w:val="99"/>
    <w:rPr>
      <w:sz w:val="20"/>
    </w:rPr>
  </w:style>
  <w:style w:type="paragraph" w:styleId="705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06">
    <w:name w:val="Heading 1"/>
    <w:basedOn w:val="705"/>
    <w:next w:val="705"/>
    <w:link w:val="899"/>
    <w:uiPriority w:val="99"/>
    <w:qFormat/>
    <w:pPr>
      <w:jc w:val="center"/>
      <w:spacing w:before="108" w:after="108"/>
      <w:outlineLvl w:val="0"/>
    </w:pPr>
    <w:rPr>
      <w:rFonts w:ascii="Arial" w:hAnsi="Arial" w:cs="Arial" w:eastAsiaTheme="minorHAnsi"/>
      <w:b/>
      <w:bCs/>
      <w:color w:val="26282f"/>
      <w:lang w:eastAsia="en-US"/>
    </w:rPr>
  </w:style>
  <w:style w:type="paragraph" w:styleId="707">
    <w:name w:val="Heading 2"/>
    <w:basedOn w:val="705"/>
    <w:next w:val="705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8">
    <w:name w:val="Heading 3"/>
    <w:basedOn w:val="705"/>
    <w:next w:val="705"/>
    <w:link w:val="72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9">
    <w:name w:val="Heading 4"/>
    <w:basedOn w:val="705"/>
    <w:next w:val="705"/>
    <w:link w:val="72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0">
    <w:name w:val="Heading 5"/>
    <w:basedOn w:val="705"/>
    <w:next w:val="705"/>
    <w:link w:val="7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1">
    <w:name w:val="Heading 6"/>
    <w:basedOn w:val="705"/>
    <w:next w:val="705"/>
    <w:link w:val="7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2">
    <w:name w:val="Heading 7"/>
    <w:basedOn w:val="705"/>
    <w:next w:val="705"/>
    <w:link w:val="7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3">
    <w:name w:val="Heading 8"/>
    <w:basedOn w:val="705"/>
    <w:next w:val="705"/>
    <w:link w:val="7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4">
    <w:name w:val="Heading 9"/>
    <w:basedOn w:val="705"/>
    <w:next w:val="705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5" w:default="1">
    <w:name w:val="Default Paragraph Font"/>
    <w:uiPriority w:val="1"/>
    <w:semiHidden/>
    <w:unhideWhenUsed/>
  </w:style>
  <w:style w:type="table" w:styleId="7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7" w:default="1">
    <w:name w:val="No List"/>
    <w:uiPriority w:val="99"/>
    <w:semiHidden/>
    <w:unhideWhenUsed/>
  </w:style>
  <w:style w:type="character" w:styleId="718" w:customStyle="1">
    <w:name w:val="Heading 1 Char"/>
    <w:basedOn w:val="715"/>
    <w:uiPriority w:val="9"/>
    <w:rPr>
      <w:rFonts w:ascii="Arial" w:hAnsi="Arial" w:eastAsia="Arial" w:cs="Arial"/>
      <w:sz w:val="40"/>
      <w:szCs w:val="40"/>
    </w:rPr>
  </w:style>
  <w:style w:type="character" w:styleId="719" w:customStyle="1">
    <w:name w:val="Заголовок 2 Знак"/>
    <w:basedOn w:val="715"/>
    <w:link w:val="707"/>
    <w:uiPriority w:val="9"/>
    <w:rPr>
      <w:rFonts w:ascii="Arial" w:hAnsi="Arial" w:eastAsia="Arial" w:cs="Arial"/>
      <w:sz w:val="34"/>
    </w:rPr>
  </w:style>
  <w:style w:type="character" w:styleId="720" w:customStyle="1">
    <w:name w:val="Заголовок 3 Знак"/>
    <w:basedOn w:val="715"/>
    <w:link w:val="708"/>
    <w:uiPriority w:val="9"/>
    <w:rPr>
      <w:rFonts w:ascii="Arial" w:hAnsi="Arial" w:eastAsia="Arial" w:cs="Arial"/>
      <w:sz w:val="30"/>
      <w:szCs w:val="30"/>
    </w:rPr>
  </w:style>
  <w:style w:type="character" w:styleId="721" w:customStyle="1">
    <w:name w:val="Заголовок 4 Знак"/>
    <w:basedOn w:val="715"/>
    <w:link w:val="709"/>
    <w:uiPriority w:val="9"/>
    <w:rPr>
      <w:rFonts w:ascii="Arial" w:hAnsi="Arial" w:eastAsia="Arial" w:cs="Arial"/>
      <w:b/>
      <w:bCs/>
      <w:sz w:val="26"/>
      <w:szCs w:val="26"/>
    </w:rPr>
  </w:style>
  <w:style w:type="character" w:styleId="722" w:customStyle="1">
    <w:name w:val="Заголовок 5 Знак"/>
    <w:basedOn w:val="715"/>
    <w:link w:val="710"/>
    <w:uiPriority w:val="9"/>
    <w:rPr>
      <w:rFonts w:ascii="Arial" w:hAnsi="Arial" w:eastAsia="Arial" w:cs="Arial"/>
      <w:b/>
      <w:bCs/>
      <w:sz w:val="24"/>
      <w:szCs w:val="24"/>
    </w:rPr>
  </w:style>
  <w:style w:type="character" w:styleId="723" w:customStyle="1">
    <w:name w:val="Заголовок 6 Знак"/>
    <w:basedOn w:val="715"/>
    <w:link w:val="711"/>
    <w:uiPriority w:val="9"/>
    <w:rPr>
      <w:rFonts w:ascii="Arial" w:hAnsi="Arial" w:eastAsia="Arial" w:cs="Arial"/>
      <w:b/>
      <w:bCs/>
      <w:sz w:val="22"/>
      <w:szCs w:val="22"/>
    </w:rPr>
  </w:style>
  <w:style w:type="character" w:styleId="724" w:customStyle="1">
    <w:name w:val="Заголовок 7 Знак"/>
    <w:basedOn w:val="715"/>
    <w:link w:val="7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 w:customStyle="1">
    <w:name w:val="Заголовок 8 Знак"/>
    <w:basedOn w:val="715"/>
    <w:link w:val="713"/>
    <w:uiPriority w:val="9"/>
    <w:rPr>
      <w:rFonts w:ascii="Arial" w:hAnsi="Arial" w:eastAsia="Arial" w:cs="Arial"/>
      <w:i/>
      <w:iCs/>
      <w:sz w:val="22"/>
      <w:szCs w:val="22"/>
    </w:rPr>
  </w:style>
  <w:style w:type="character" w:styleId="726" w:customStyle="1">
    <w:name w:val="Заголовок 9 Знак"/>
    <w:basedOn w:val="715"/>
    <w:link w:val="714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Title"/>
    <w:basedOn w:val="705"/>
    <w:next w:val="705"/>
    <w:link w:val="72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8" w:customStyle="1">
    <w:name w:val="Название Знак"/>
    <w:basedOn w:val="715"/>
    <w:link w:val="727"/>
    <w:uiPriority w:val="10"/>
    <w:rPr>
      <w:sz w:val="48"/>
      <w:szCs w:val="48"/>
    </w:rPr>
  </w:style>
  <w:style w:type="paragraph" w:styleId="729">
    <w:name w:val="Subtitle"/>
    <w:basedOn w:val="705"/>
    <w:next w:val="705"/>
    <w:link w:val="730"/>
    <w:uiPriority w:val="11"/>
    <w:qFormat/>
    <w:pPr>
      <w:spacing w:before="200" w:after="200"/>
    </w:pPr>
  </w:style>
  <w:style w:type="character" w:styleId="730" w:customStyle="1">
    <w:name w:val="Подзаголовок Знак"/>
    <w:basedOn w:val="715"/>
    <w:link w:val="729"/>
    <w:uiPriority w:val="11"/>
    <w:rPr>
      <w:sz w:val="24"/>
      <w:szCs w:val="24"/>
    </w:rPr>
  </w:style>
  <w:style w:type="paragraph" w:styleId="731">
    <w:name w:val="Quote"/>
    <w:basedOn w:val="705"/>
    <w:next w:val="705"/>
    <w:link w:val="732"/>
    <w:uiPriority w:val="29"/>
    <w:qFormat/>
    <w:pPr>
      <w:ind w:left="720" w:right="720"/>
    </w:pPr>
    <w:rPr>
      <w:i/>
    </w:rPr>
  </w:style>
  <w:style w:type="character" w:styleId="732" w:customStyle="1">
    <w:name w:val="Цитата 2 Знак"/>
    <w:link w:val="731"/>
    <w:uiPriority w:val="29"/>
    <w:rPr>
      <w:i/>
    </w:rPr>
  </w:style>
  <w:style w:type="paragraph" w:styleId="733">
    <w:name w:val="Intense Quote"/>
    <w:basedOn w:val="705"/>
    <w:next w:val="705"/>
    <w:link w:val="73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4" w:customStyle="1">
    <w:name w:val="Выделенная цитата Знак"/>
    <w:link w:val="733"/>
    <w:uiPriority w:val="30"/>
    <w:rPr>
      <w:i/>
    </w:rPr>
  </w:style>
  <w:style w:type="character" w:styleId="735" w:customStyle="1">
    <w:name w:val="Header Char"/>
    <w:basedOn w:val="715"/>
    <w:uiPriority w:val="99"/>
  </w:style>
  <w:style w:type="character" w:styleId="736" w:customStyle="1">
    <w:name w:val="Footer Char"/>
    <w:basedOn w:val="715"/>
    <w:uiPriority w:val="99"/>
  </w:style>
  <w:style w:type="paragraph" w:styleId="737">
    <w:name w:val="Caption"/>
    <w:basedOn w:val="705"/>
    <w:next w:val="705"/>
    <w:link w:val="7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8" w:customStyle="1">
    <w:name w:val="Caption Char"/>
    <w:uiPriority w:val="99"/>
  </w:style>
  <w:style w:type="table" w:styleId="739" w:customStyle="1">
    <w:name w:val="Table Grid Light"/>
    <w:basedOn w:val="71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0">
    <w:name w:val="Plain Table 1"/>
    <w:basedOn w:val="71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2"/>
    <w:basedOn w:val="71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3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3">
    <w:name w:val="Plain Table 4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Plain Table 5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5">
    <w:name w:val="Grid Table 1 Light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4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7" w:customStyle="1">
    <w:name w:val="Grid Table 4 - Accent 1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8" w:customStyle="1">
    <w:name w:val="Grid Table 4 - Accent 2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9" w:customStyle="1">
    <w:name w:val="Grid Table 4 - Accent 3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0" w:customStyle="1">
    <w:name w:val="Grid Table 4 - Accent 4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1" w:customStyle="1">
    <w:name w:val="Grid Table 4 - Accent 5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2" w:customStyle="1">
    <w:name w:val="Grid Table 4 - Accent 6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3">
    <w:name w:val="Grid Table 5 Dark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0">
    <w:name w:val="Grid Table 6 Colorful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1" w:customStyle="1">
    <w:name w:val="Grid Table 6 Colorful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2" w:customStyle="1">
    <w:name w:val="Grid Table 6 Colorful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3" w:customStyle="1">
    <w:name w:val="Grid Table 6 Colorful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4" w:customStyle="1">
    <w:name w:val="Grid Table 6 Colorful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5" w:customStyle="1">
    <w:name w:val="Grid Table 6 Colorful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6" w:customStyle="1">
    <w:name w:val="Grid Table 6 Colorful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7">
    <w:name w:val="Grid Table 7 Colorful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8" w:customStyle="1">
    <w:name w:val="Grid Table 7 Colorful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9" w:customStyle="1">
    <w:name w:val="Grid Table 7 Colorful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Grid Table 7 Colorful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Grid Table 7 Colorful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Grid Table 7 Colorful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Grid Table 7 Colorful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>
    <w:name w:val="List Table 1 Light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1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2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3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4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5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6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8">
    <w:name w:val="List Table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5 Dark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>
    <w:name w:val="List Table 6 Colorful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0" w:customStyle="1">
    <w:name w:val="List Table 6 Colorful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1" w:customStyle="1">
    <w:name w:val="List Table 6 Colorful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2" w:customStyle="1">
    <w:name w:val="List Table 6 Colorful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3" w:customStyle="1">
    <w:name w:val="List Table 6 Colorful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4" w:customStyle="1">
    <w:name w:val="List Table 6 Colorful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5" w:customStyle="1">
    <w:name w:val="List Table 6 Colorful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6">
    <w:name w:val="List Table 7 Colorful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7" w:customStyle="1">
    <w:name w:val="List Table 7 Colorful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8" w:customStyle="1">
    <w:name w:val="List Table 7 Colorful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List Table 7 Colorful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List Table 7 Colorful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List Table 7 Colorful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List Table 7 Colorful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Lined - Accent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4" w:customStyle="1">
    <w:name w:val="Lined - Accent 1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5" w:customStyle="1">
    <w:name w:val="Lined - Accent 2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6" w:customStyle="1">
    <w:name w:val="Lined - Accent 3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7" w:customStyle="1">
    <w:name w:val="Lined - Accent 4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8" w:customStyle="1">
    <w:name w:val="Lined - Accent 5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9" w:customStyle="1">
    <w:name w:val="Lined - Accent 6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0" w:customStyle="1">
    <w:name w:val="Bordered &amp; Lined - Accent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1" w:customStyle="1">
    <w:name w:val="Bordered &amp; Lined - Accent 1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2" w:customStyle="1">
    <w:name w:val="Bordered &amp; Lined - Accent 2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3" w:customStyle="1">
    <w:name w:val="Bordered &amp; Lined - Accent 3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4" w:customStyle="1">
    <w:name w:val="Bordered &amp; Lined - Accent 4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5" w:customStyle="1">
    <w:name w:val="Bordered &amp; Lined - Accent 5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6" w:customStyle="1">
    <w:name w:val="Bordered &amp; Lined - Accent 6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7" w:customStyle="1">
    <w:name w:val="Bordered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8" w:customStyle="1">
    <w:name w:val="Bordered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9" w:customStyle="1">
    <w:name w:val="Bordered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0" w:customStyle="1">
    <w:name w:val="Bordered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1" w:customStyle="1">
    <w:name w:val="Bordered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2" w:customStyle="1">
    <w:name w:val="Bordered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3" w:customStyle="1">
    <w:name w:val="Bordered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64">
    <w:name w:val="footnote text"/>
    <w:basedOn w:val="705"/>
    <w:link w:val="865"/>
    <w:uiPriority w:val="99"/>
    <w:semiHidden/>
    <w:unhideWhenUsed/>
    <w:pPr>
      <w:spacing w:after="40"/>
    </w:pPr>
    <w:rPr>
      <w:sz w:val="18"/>
    </w:rPr>
  </w:style>
  <w:style w:type="character" w:styleId="865" w:customStyle="1">
    <w:name w:val="Текст сноски Знак"/>
    <w:link w:val="864"/>
    <w:uiPriority w:val="99"/>
    <w:rPr>
      <w:sz w:val="18"/>
    </w:rPr>
  </w:style>
  <w:style w:type="character" w:styleId="866">
    <w:name w:val="footnote reference"/>
    <w:basedOn w:val="715"/>
    <w:uiPriority w:val="99"/>
    <w:unhideWhenUsed/>
    <w:rPr>
      <w:vertAlign w:val="superscript"/>
    </w:rPr>
  </w:style>
  <w:style w:type="paragraph" w:styleId="867">
    <w:name w:val="endnote text"/>
    <w:basedOn w:val="705"/>
    <w:link w:val="868"/>
    <w:uiPriority w:val="99"/>
    <w:semiHidden/>
    <w:unhideWhenUsed/>
    <w:rPr>
      <w:sz w:val="20"/>
    </w:rPr>
  </w:style>
  <w:style w:type="character" w:styleId="868" w:customStyle="1">
    <w:name w:val="Текст концевой сноски Знак"/>
    <w:link w:val="867"/>
    <w:uiPriority w:val="99"/>
    <w:rPr>
      <w:sz w:val="20"/>
    </w:rPr>
  </w:style>
  <w:style w:type="character" w:styleId="869">
    <w:name w:val="endnote reference"/>
    <w:basedOn w:val="715"/>
    <w:uiPriority w:val="99"/>
    <w:semiHidden/>
    <w:unhideWhenUsed/>
    <w:rPr>
      <w:vertAlign w:val="superscript"/>
    </w:rPr>
  </w:style>
  <w:style w:type="paragraph" w:styleId="870">
    <w:name w:val="toc 1"/>
    <w:basedOn w:val="705"/>
    <w:next w:val="705"/>
    <w:uiPriority w:val="39"/>
    <w:unhideWhenUsed/>
    <w:pPr>
      <w:spacing w:after="57"/>
    </w:pPr>
  </w:style>
  <w:style w:type="paragraph" w:styleId="871">
    <w:name w:val="toc 2"/>
    <w:basedOn w:val="705"/>
    <w:next w:val="705"/>
    <w:uiPriority w:val="39"/>
    <w:unhideWhenUsed/>
    <w:pPr>
      <w:ind w:left="283"/>
      <w:spacing w:after="57"/>
    </w:pPr>
  </w:style>
  <w:style w:type="paragraph" w:styleId="872">
    <w:name w:val="toc 3"/>
    <w:basedOn w:val="705"/>
    <w:next w:val="705"/>
    <w:uiPriority w:val="39"/>
    <w:unhideWhenUsed/>
    <w:pPr>
      <w:ind w:left="567"/>
      <w:spacing w:after="57"/>
    </w:pPr>
  </w:style>
  <w:style w:type="paragraph" w:styleId="873">
    <w:name w:val="toc 4"/>
    <w:basedOn w:val="705"/>
    <w:next w:val="705"/>
    <w:uiPriority w:val="39"/>
    <w:unhideWhenUsed/>
    <w:pPr>
      <w:ind w:left="850"/>
      <w:spacing w:after="57"/>
    </w:pPr>
  </w:style>
  <w:style w:type="paragraph" w:styleId="874">
    <w:name w:val="toc 5"/>
    <w:basedOn w:val="705"/>
    <w:next w:val="705"/>
    <w:uiPriority w:val="39"/>
    <w:unhideWhenUsed/>
    <w:pPr>
      <w:ind w:left="1134"/>
      <w:spacing w:after="57"/>
    </w:pPr>
  </w:style>
  <w:style w:type="paragraph" w:styleId="875">
    <w:name w:val="toc 6"/>
    <w:basedOn w:val="705"/>
    <w:next w:val="705"/>
    <w:uiPriority w:val="39"/>
    <w:unhideWhenUsed/>
    <w:pPr>
      <w:ind w:left="1417"/>
      <w:spacing w:after="57"/>
    </w:pPr>
  </w:style>
  <w:style w:type="paragraph" w:styleId="876">
    <w:name w:val="toc 7"/>
    <w:basedOn w:val="705"/>
    <w:next w:val="705"/>
    <w:uiPriority w:val="39"/>
    <w:unhideWhenUsed/>
    <w:pPr>
      <w:ind w:left="1701"/>
      <w:spacing w:after="57"/>
    </w:pPr>
  </w:style>
  <w:style w:type="paragraph" w:styleId="877">
    <w:name w:val="toc 8"/>
    <w:basedOn w:val="705"/>
    <w:next w:val="705"/>
    <w:uiPriority w:val="39"/>
    <w:unhideWhenUsed/>
    <w:pPr>
      <w:ind w:left="1984"/>
      <w:spacing w:after="57"/>
    </w:pPr>
  </w:style>
  <w:style w:type="paragraph" w:styleId="878">
    <w:name w:val="toc 9"/>
    <w:basedOn w:val="705"/>
    <w:next w:val="705"/>
    <w:uiPriority w:val="39"/>
    <w:unhideWhenUsed/>
    <w:pPr>
      <w:ind w:left="2268"/>
      <w:spacing w:after="57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705"/>
    <w:next w:val="705"/>
    <w:uiPriority w:val="99"/>
    <w:unhideWhenUsed/>
  </w:style>
  <w:style w:type="paragraph" w:styleId="881" w:customStyle="1">
    <w:name w:val="Block Quotation"/>
    <w:basedOn w:val="705"/>
    <w:qFormat/>
    <w:pPr>
      <w:ind w:left="567" w:right="-2" w:firstLine="851"/>
      <w:jc w:val="both"/>
      <w:widowControl w:val="off"/>
    </w:pPr>
    <w:rPr>
      <w:sz w:val="28"/>
      <w:szCs w:val="28"/>
    </w:rPr>
  </w:style>
  <w:style w:type="paragraph" w:styleId="882">
    <w:name w:val="Header"/>
    <w:basedOn w:val="705"/>
    <w:link w:val="88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3" w:customStyle="1">
    <w:name w:val="Верхний колонтитул Знак"/>
    <w:basedOn w:val="715"/>
    <w:link w:val="88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4">
    <w:name w:val="Footer"/>
    <w:basedOn w:val="705"/>
    <w:link w:val="88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5" w:customStyle="1">
    <w:name w:val="Нижний колонтитул Знак"/>
    <w:basedOn w:val="715"/>
    <w:link w:val="88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6">
    <w:name w:val="Balloon Text"/>
    <w:basedOn w:val="705"/>
    <w:link w:val="887"/>
    <w:uiPriority w:val="99"/>
    <w:semiHidden/>
    <w:unhideWhenUsed/>
    <w:rPr>
      <w:rFonts w:ascii="Tahoma" w:hAnsi="Tahoma" w:cs="Tahoma"/>
      <w:sz w:val="16"/>
      <w:szCs w:val="16"/>
    </w:rPr>
  </w:style>
  <w:style w:type="character" w:styleId="887" w:customStyle="1">
    <w:name w:val="Текст выноски Знак"/>
    <w:basedOn w:val="715"/>
    <w:link w:val="88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88">
    <w:name w:val="Body Text Indent"/>
    <w:basedOn w:val="705"/>
    <w:link w:val="889"/>
    <w:unhideWhenUsed/>
    <w:pPr>
      <w:ind w:firstLine="900"/>
      <w:jc w:val="both"/>
    </w:pPr>
    <w:rPr>
      <w:sz w:val="28"/>
    </w:rPr>
  </w:style>
  <w:style w:type="character" w:styleId="889" w:customStyle="1">
    <w:name w:val="Основной текст с отступом Знак"/>
    <w:basedOn w:val="715"/>
    <w:link w:val="888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90" w:customStyle="1">
    <w:name w:val="ConsPlusTitle"/>
    <w:uiPriority w:val="99"/>
    <w:pPr>
      <w:spacing w:after="0" w:line="240" w:lineRule="auto"/>
    </w:pPr>
    <w:rPr>
      <w:rFonts w:ascii="Times New Roman" w:hAnsi="Times New Roman" w:eastAsia="Calibri" w:cs="Times New Roman"/>
      <w:b/>
      <w:bCs/>
      <w:sz w:val="28"/>
      <w:szCs w:val="28"/>
    </w:rPr>
  </w:style>
  <w:style w:type="paragraph" w:styleId="891">
    <w:name w:val="List Paragraph"/>
    <w:basedOn w:val="705"/>
    <w:uiPriority w:val="34"/>
    <w:qFormat/>
    <w:pPr>
      <w:contextualSpacing/>
      <w:ind w:left="720"/>
    </w:pPr>
  </w:style>
  <w:style w:type="table" w:styleId="892">
    <w:name w:val="Table Grid"/>
    <w:basedOn w:val="71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3" w:customStyle="1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894">
    <w:name w:val="Hyperlink"/>
    <w:basedOn w:val="715"/>
    <w:uiPriority w:val="99"/>
    <w:semiHidden/>
    <w:unhideWhenUsed/>
    <w:rPr>
      <w:color w:val="0000ff"/>
      <w:u w:val="single"/>
    </w:rPr>
  </w:style>
  <w:style w:type="paragraph" w:styleId="895" w:customStyle="1">
    <w:name w:val="Нормальный (таблица)"/>
    <w:basedOn w:val="705"/>
    <w:next w:val="705"/>
    <w:uiPriority w:val="99"/>
    <w:pPr>
      <w:jc w:val="both"/>
    </w:pPr>
    <w:rPr>
      <w:rFonts w:ascii="Arial" w:hAnsi="Arial" w:cs="Arial" w:eastAsiaTheme="minorHAnsi"/>
      <w:lang w:eastAsia="en-US"/>
    </w:rPr>
  </w:style>
  <w:style w:type="character" w:styleId="896" w:customStyle="1">
    <w:name w:val="Цветовое выделение"/>
    <w:uiPriority w:val="99"/>
    <w:rPr>
      <w:b/>
      <w:bCs/>
      <w:color w:val="26282f"/>
    </w:rPr>
  </w:style>
  <w:style w:type="paragraph" w:styleId="897" w:customStyle="1">
    <w:name w:val="Прижатый влево"/>
    <w:basedOn w:val="705"/>
    <w:next w:val="705"/>
    <w:uiPriority w:val="99"/>
    <w:rPr>
      <w:rFonts w:ascii="Arial" w:hAnsi="Arial" w:cs="Arial" w:eastAsiaTheme="minorHAnsi"/>
      <w:lang w:eastAsia="en-US"/>
    </w:rPr>
  </w:style>
  <w:style w:type="character" w:styleId="898" w:customStyle="1">
    <w:name w:val="Гипертекстовая ссылка"/>
    <w:uiPriority w:val="99"/>
    <w:rPr>
      <w:color w:val="106bbe"/>
    </w:rPr>
  </w:style>
  <w:style w:type="character" w:styleId="899" w:customStyle="1">
    <w:name w:val="Заголовок 1 Знак"/>
    <w:basedOn w:val="715"/>
    <w:link w:val="706"/>
    <w:uiPriority w:val="99"/>
    <w:rPr>
      <w:rFonts w:ascii="Arial" w:hAnsi="Arial" w:cs="Arial"/>
      <w:b/>
      <w:bCs/>
      <w:color w:val="26282f"/>
      <w:sz w:val="24"/>
      <w:szCs w:val="24"/>
    </w:rPr>
  </w:style>
  <w:style w:type="paragraph" w:styleId="900">
    <w:name w:val="Normal (Web)"/>
    <w:basedOn w:val="705"/>
    <w:uiPriority w:val="99"/>
    <w:semiHidden/>
    <w:unhideWhenUsed/>
    <w:pPr>
      <w:spacing w:before="100" w:beforeAutospacing="1" w:after="100" w:afterAutospacing="1"/>
    </w:pPr>
  </w:style>
  <w:style w:type="paragraph" w:styleId="901">
    <w:name w:val="No Spacing"/>
    <w:uiPriority w:val="1"/>
    <w:qFormat/>
    <w:pPr>
      <w:spacing w:after="0" w:line="240" w:lineRule="auto"/>
    </w:pPr>
  </w:style>
  <w:style w:type="paragraph" w:styleId="902" w:customStyle="1">
    <w:name w:val="Знак Знак"/>
    <w:basedOn w:val="7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03">
    <w:name w:val="Plain Text"/>
    <w:basedOn w:val="705"/>
    <w:link w:val="904"/>
    <w:uiPriority w:val="99"/>
    <w:unhideWhenUsed/>
    <w:rPr>
      <w:rFonts w:ascii="Calibri" w:hAnsi="Calibri" w:eastAsiaTheme="minorHAnsi" w:cstheme="minorBidi"/>
      <w:sz w:val="22"/>
      <w:szCs w:val="21"/>
      <w:lang w:eastAsia="en-US"/>
    </w:rPr>
  </w:style>
  <w:style w:type="character" w:styleId="904" w:customStyle="1">
    <w:name w:val="Текст Знак"/>
    <w:basedOn w:val="715"/>
    <w:link w:val="903"/>
    <w:uiPriority w:val="99"/>
    <w:rPr>
      <w:rFonts w:ascii="Calibri" w:hAnsi="Calibri"/>
      <w:szCs w:val="21"/>
    </w:rPr>
  </w:style>
  <w:style w:type="paragraph" w:styleId="905" w:customStyle="1">
    <w:name w:val="Обычный (веб)1"/>
    <w:basedOn w:val="705"/>
    <w:uiPriority w:val="99"/>
    <w:unhideWhenUsed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</w:style>
  <w:style w:type="character" w:styleId="906" w:customStyle="1">
    <w:name w:val="rr-real-err-msg"/>
  </w:style>
  <w:style w:type="character" w:styleId="907" w:customStyle="1">
    <w:name w:val="Строгий"/>
    <w:qFormat/>
    <w:rPr>
      <w:b/>
      <w:bCs/>
    </w:rPr>
  </w:style>
  <w:style w:type="paragraph" w:styleId="908" w:customStyle="1">
    <w:name w:val="Основной текст с отступом 2"/>
    <w:semiHidden/>
    <w:pPr>
      <w:contextualSpacing w:val="0"/>
      <w:ind w:left="-540" w:right="0" w:firstLine="54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en-US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FF182FECE2A93C2DA1EDE0E9045F9D0E02997BA9B7274E8BC6D37CD37A32ADD7A79E836EBD5F65FFDAEFD9181835F38A02EA34665F5B4AEAm7E7M" TargetMode="External"/><Relationship Id="rId12" Type="http://schemas.openxmlformats.org/officeDocument/2006/relationships/hyperlink" Target="https://report56.orb.ru/application/initreport?mid=3692182404&amp;ctrl=S3Row&amp;rid=3755784158&amp;fld=col26" TargetMode="External"/><Relationship Id="rId13" Type="http://schemas.openxmlformats.org/officeDocument/2006/relationships/hyperlink" Target="https://report56.orb.ru/application/initreport?mid=3692182404&amp;ctrl=S3Row&amp;rid=3755784153&amp;fld=col26" TargetMode="External"/><Relationship Id="rId14" Type="http://schemas.openxmlformats.org/officeDocument/2006/relationships/hyperlink" Target="https://internet.garant.ru/#/document/12181732/entry/503320" TargetMode="External"/><Relationship Id="rId15" Type="http://schemas.openxmlformats.org/officeDocument/2006/relationships/hyperlink" Target="consultantplus://offline/ref=A1FBB1332324664B6A07FBFE564E33F79515F15EE49137FC6D9821CF1725418FB4675691092859ECBE555F8F5F0BA4784706EC0E7BD9OA23J" TargetMode="External"/><Relationship Id="rId16" Type="http://schemas.openxmlformats.org/officeDocument/2006/relationships/hyperlink" Target="https://login.consultant.ru/link/?req=doc&amp;base=LAW&amp;n=467434&amp;dst=382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CB172-FDDA-411D-8BF3-328C0638B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vmf</cp:lastModifiedBy>
  <cp:revision>1977</cp:revision>
  <dcterms:created xsi:type="dcterms:W3CDTF">2019-02-22T12:01:00Z</dcterms:created>
  <dcterms:modified xsi:type="dcterms:W3CDTF">2026-04-17T06:16:21Z</dcterms:modified>
</cp:coreProperties>
</file>